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911084" w14:paraId="4D88ABBC" w14:textId="77777777">
        <w:trPr>
          <w:trHeight w:val="1287"/>
          <w:jc w:val="center"/>
        </w:trPr>
        <w:tc>
          <w:tcPr>
            <w:tcW w:w="2667" w:type="dxa"/>
            <w:tcBorders>
              <w:top w:val="nil"/>
              <w:bottom w:val="nil"/>
              <w:right w:val="nil"/>
            </w:tcBorders>
            <w:hideMark/>
          </w:tcPr>
          <w:p w14:paraId="31C7BB01" w14:textId="77777777" w:rsidR="00911084" w:rsidRDefault="001C42BF">
            <w:pPr>
              <w:ind w:hanging="10"/>
              <w:jc w:val="left"/>
            </w:pPr>
            <w:r>
              <w:rPr>
                <w:noProof/>
                <w:lang w:eastAsia="en-GB"/>
              </w:rPr>
              <mc:AlternateContent>
                <mc:Choice Requires="wps">
                  <w:drawing>
                    <wp:anchor distT="0" distB="0" distL="114300" distR="114300" simplePos="0" relativeHeight="251658240" behindDoc="0" locked="0" layoutInCell="1" allowOverlap="1" wp14:anchorId="77A31569" wp14:editId="467950FC">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3913" id="Line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pTtgEAAFIDAAAOAAAAZHJzL2Uyb0RvYy54bWysU01v2zAMvQ/YfxB0X5wESLc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"/>
                  </w:pict>
                </mc:Fallback>
              </mc:AlternateContent>
            </w:r>
          </w:p>
        </w:tc>
        <w:tc>
          <w:tcPr>
            <w:tcW w:w="4061" w:type="dxa"/>
            <w:tcBorders>
              <w:left w:val="nil"/>
              <w:right w:val="nil"/>
            </w:tcBorders>
            <w:hideMark/>
          </w:tcPr>
          <w:p w14:paraId="565DF558" w14:textId="77777777" w:rsidR="00911084" w:rsidRDefault="001C42BF">
            <w:pPr>
              <w:jc w:val="left"/>
            </w:pPr>
            <w:r>
              <w:rPr>
                <w:noProof/>
                <w:lang w:eastAsia="en-GB"/>
              </w:rPr>
              <w:drawing>
                <wp:inline distT="0" distB="0" distL="0" distR="0" wp14:anchorId="3724A67E" wp14:editId="14140C8A">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6D9A24F5" w14:textId="77777777" w:rsidR="00911084" w:rsidRDefault="001C42BF">
            <w:pPr>
              <w:jc w:val="right"/>
            </w:pPr>
            <w:r>
              <w:rPr>
                <w:b/>
                <w:i/>
                <w:sz w:val="48"/>
                <w:szCs w:val="48"/>
              </w:rPr>
              <w:t>E</w:t>
            </w:r>
          </w:p>
        </w:tc>
      </w:tr>
    </w:tbl>
    <w:p w14:paraId="0F313852" w14:textId="34150FDB" w:rsidR="00911084" w:rsidRPr="008E1682" w:rsidRDefault="00AC1A0A">
      <w:pPr>
        <w:rPr>
          <w:color w:val="FF0000"/>
        </w:rPr>
      </w:pPr>
      <w:bookmarkStart w:id="0" w:name="headings"/>
      <w:bookmarkEnd w:id="0"/>
      <w:r>
        <w:rPr>
          <w:color w:val="FF0000"/>
        </w:rPr>
        <w:t xml:space="preserve"> </w:t>
      </w:r>
    </w:p>
    <w:tbl>
      <w:tblPr>
        <w:tblW w:w="9157" w:type="dxa"/>
        <w:jc w:val="center"/>
        <w:tblLayout w:type="fixed"/>
        <w:tblCellMar>
          <w:left w:w="60" w:type="dxa"/>
          <w:right w:w="60" w:type="dxa"/>
        </w:tblCellMar>
        <w:tblLook w:val="0000" w:firstRow="0" w:lastRow="0" w:firstColumn="0" w:lastColumn="0" w:noHBand="0" w:noVBand="0"/>
      </w:tblPr>
      <w:tblGrid>
        <w:gridCol w:w="4692"/>
        <w:gridCol w:w="4465"/>
      </w:tblGrid>
      <w:tr w:rsidR="00911084" w14:paraId="4E4FEBB4" w14:textId="77777777">
        <w:trPr>
          <w:jc w:val="center"/>
        </w:trPr>
        <w:tc>
          <w:tcPr>
            <w:tcW w:w="4692" w:type="dxa"/>
          </w:tcPr>
          <w:p w14:paraId="6E4A6047" w14:textId="77777777" w:rsidR="00911084" w:rsidRDefault="00911084">
            <w:pPr>
              <w:spacing w:line="120" w:lineRule="exact"/>
              <w:jc w:val="left"/>
            </w:pPr>
          </w:p>
          <w:p w14:paraId="2343C73E" w14:textId="77777777" w:rsidR="008E1682" w:rsidRPr="00E3618B" w:rsidRDefault="008E1682" w:rsidP="008E1682">
            <w:pPr>
              <w:jc w:val="left"/>
              <w:rPr>
                <w:rFonts w:cs="Arial"/>
                <w:color w:val="000000" w:themeColor="text1"/>
                <w:szCs w:val="22"/>
              </w:rPr>
            </w:pPr>
            <w:bookmarkStart w:id="1" w:name="sub_committee"/>
            <w:bookmarkEnd w:id="1"/>
            <w:r w:rsidRPr="00E3618B">
              <w:rPr>
                <w:rFonts w:cs="Arial"/>
                <w:color w:val="000000" w:themeColor="text1"/>
                <w:szCs w:val="22"/>
              </w:rPr>
              <w:t xml:space="preserve">INTERSESSIONAL MEETING OF THE WORKING GROUP ON REDUCTION OF GHG EMISSIONS FROM SHIPS </w:t>
            </w:r>
          </w:p>
          <w:p w14:paraId="134F8145" w14:textId="642ADCED" w:rsidR="00911084" w:rsidRDefault="008E1682">
            <w:pPr>
              <w:jc w:val="left"/>
            </w:pPr>
            <w:bookmarkStart w:id="2" w:name="session"/>
            <w:bookmarkEnd w:id="2"/>
            <w:r>
              <w:t>17th</w:t>
            </w:r>
            <w:r w:rsidR="001C42BF">
              <w:t xml:space="preserve"> session </w:t>
            </w:r>
          </w:p>
          <w:p w14:paraId="6C1EF39A" w14:textId="1835E744" w:rsidR="00911084" w:rsidRDefault="001C42BF">
            <w:pPr>
              <w:spacing w:after="58"/>
              <w:jc w:val="left"/>
            </w:pPr>
            <w:r>
              <w:t xml:space="preserve">Agenda item </w:t>
            </w:r>
            <w:bookmarkStart w:id="3" w:name="agenda"/>
            <w:bookmarkEnd w:id="3"/>
            <w:r w:rsidR="008E1682">
              <w:t>2</w:t>
            </w:r>
          </w:p>
        </w:tc>
        <w:tc>
          <w:tcPr>
            <w:tcW w:w="4465" w:type="dxa"/>
          </w:tcPr>
          <w:p w14:paraId="7A745C58" w14:textId="77777777" w:rsidR="00911084" w:rsidRPr="00DE73AA" w:rsidRDefault="00911084">
            <w:pPr>
              <w:spacing w:line="120" w:lineRule="exact"/>
              <w:jc w:val="right"/>
              <w:rPr>
                <w:lang w:val="fr-FR"/>
              </w:rPr>
            </w:pPr>
          </w:p>
          <w:p w14:paraId="020827A2" w14:textId="77777777" w:rsidR="008E1682" w:rsidRPr="00E3618B" w:rsidRDefault="008E1682" w:rsidP="008E1682">
            <w:pPr>
              <w:tabs>
                <w:tab w:val="clear" w:pos="851"/>
              </w:tabs>
              <w:jc w:val="right"/>
              <w:rPr>
                <w:color w:val="000000" w:themeColor="text1"/>
              </w:rPr>
            </w:pPr>
            <w:bookmarkStart w:id="4" w:name="symbol"/>
            <w:bookmarkEnd w:id="4"/>
            <w:r w:rsidRPr="00E3618B">
              <w:rPr>
                <w:color w:val="000000" w:themeColor="text1"/>
              </w:rPr>
              <w:t>ISWG-GHG 17/2/XX</w:t>
            </w:r>
          </w:p>
          <w:p w14:paraId="063EA9E9" w14:textId="2B162789" w:rsidR="00911084" w:rsidRPr="00DE73AA" w:rsidRDefault="00C43595" w:rsidP="00CC53DC">
            <w:pPr>
              <w:tabs>
                <w:tab w:val="clear" w:pos="851"/>
              </w:tabs>
              <w:jc w:val="right"/>
              <w:rPr>
                <w:lang w:val="fr-FR"/>
              </w:rPr>
            </w:pPr>
            <w:bookmarkStart w:id="5" w:name="date"/>
            <w:bookmarkEnd w:id="5"/>
            <w:r>
              <w:rPr>
                <w:lang w:val="fr-FR"/>
              </w:rPr>
              <w:t>9</w:t>
            </w:r>
            <w:r w:rsidR="008E1682">
              <w:rPr>
                <w:lang w:val="fr-FR"/>
              </w:rPr>
              <w:t xml:space="preserve"> </w:t>
            </w:r>
            <w:r w:rsidR="00C45AA7">
              <w:rPr>
                <w:lang w:val="fr-FR"/>
              </w:rPr>
              <w:t>August</w:t>
            </w:r>
            <w:r w:rsidR="001C42BF" w:rsidRPr="00DE73AA">
              <w:rPr>
                <w:lang w:val="fr-FR"/>
              </w:rPr>
              <w:t xml:space="preserve"> 20</w:t>
            </w:r>
            <w:r w:rsidR="00804000">
              <w:rPr>
                <w:lang w:val="fr-FR"/>
              </w:rPr>
              <w:t>2</w:t>
            </w:r>
            <w:r w:rsidR="006B35F0">
              <w:rPr>
                <w:lang w:val="fr-FR"/>
              </w:rPr>
              <w:t>4</w:t>
            </w:r>
          </w:p>
          <w:p w14:paraId="2D090059" w14:textId="05E6123B" w:rsidR="00911084" w:rsidRDefault="001C42BF">
            <w:pPr>
              <w:tabs>
                <w:tab w:val="clear" w:pos="851"/>
              </w:tabs>
              <w:spacing w:after="58"/>
              <w:ind w:left="-924"/>
              <w:jc w:val="right"/>
            </w:pPr>
            <w:bookmarkStart w:id="6" w:name="language"/>
            <w:bookmarkEnd w:id="6"/>
            <w:r>
              <w:t>ENGLISH</w:t>
            </w:r>
            <w:r w:rsidR="008E1682">
              <w:t xml:space="preserve"> ONLY</w:t>
            </w:r>
          </w:p>
          <w:p w14:paraId="4D5F32B8" w14:textId="0CCF3E74" w:rsidR="00DD2A0C" w:rsidRDefault="00DD2A0C">
            <w:pPr>
              <w:tabs>
                <w:tab w:val="clear" w:pos="851"/>
              </w:tabs>
              <w:spacing w:after="58"/>
              <w:ind w:left="-924"/>
              <w:jc w:val="right"/>
            </w:pPr>
            <w:r>
              <w:t xml:space="preserve">Pre-session public release: </w:t>
            </w:r>
            <w:sdt>
              <w:sdtPr>
                <w:rPr>
                  <w:noProof/>
                  <w:lang w:eastAsia="en-GB"/>
                </w:rPr>
                <w:id w:val="497314832"/>
                <w14:checkbox>
                  <w14:checked w14:val="1"/>
                  <w14:checkedState w14:val="2612" w14:font="MS Gothic"/>
                  <w14:uncheckedState w14:val="2610" w14:font="MS Gothic"/>
                </w14:checkbox>
              </w:sdtPr>
              <w:sdtEndPr/>
              <w:sdtContent>
                <w:r w:rsidR="008E1682">
                  <w:rPr>
                    <w:rFonts w:ascii="MS Gothic" w:eastAsia="MS Gothic" w:hAnsi="MS Gothic" w:hint="eastAsia"/>
                    <w:noProof/>
                    <w:lang w:eastAsia="en-GB"/>
                  </w:rPr>
                  <w:t>☒</w:t>
                </w:r>
              </w:sdtContent>
            </w:sdt>
          </w:p>
          <w:p w14:paraId="58299542" w14:textId="77777777" w:rsidR="00DD2A0C" w:rsidRDefault="00DD2A0C">
            <w:pPr>
              <w:tabs>
                <w:tab w:val="clear" w:pos="851"/>
              </w:tabs>
              <w:spacing w:after="58"/>
              <w:ind w:left="-924"/>
              <w:jc w:val="right"/>
            </w:pPr>
          </w:p>
        </w:tc>
      </w:tr>
    </w:tbl>
    <w:p w14:paraId="6B12335A" w14:textId="77777777" w:rsidR="00911084" w:rsidRDefault="00911084" w:rsidP="00DD2A0C">
      <w:pPr>
        <w:tabs>
          <w:tab w:val="clear" w:pos="851"/>
        </w:tabs>
      </w:pPr>
    </w:p>
    <w:p w14:paraId="3DC7ACE8" w14:textId="77777777" w:rsidR="008E1682" w:rsidRPr="00E3618B" w:rsidRDefault="008E1682" w:rsidP="008E1682">
      <w:pPr>
        <w:jc w:val="center"/>
        <w:rPr>
          <w:rFonts w:cs="Arial"/>
          <w:b/>
          <w:bCs/>
          <w:color w:val="000000" w:themeColor="text1"/>
          <w:sz w:val="24"/>
          <w:szCs w:val="24"/>
        </w:rPr>
      </w:pPr>
      <w:r w:rsidRPr="00E3618B">
        <w:rPr>
          <w:b/>
          <w:bCs/>
          <w:color w:val="000000" w:themeColor="text1"/>
        </w:rPr>
        <w:t xml:space="preserve">FURTHER CONSIDER THE DEVELOPMENT OF THE BASKET OF </w:t>
      </w:r>
      <w:r w:rsidRPr="00E3618B">
        <w:rPr>
          <w:b/>
          <w:bCs/>
          <w:color w:val="000000" w:themeColor="text1"/>
        </w:rPr>
        <w:br/>
        <w:t>CANDIDATE MID-TERM MEASURE(S)</w:t>
      </w:r>
    </w:p>
    <w:p w14:paraId="6D58C0A1" w14:textId="77777777" w:rsidR="00911084" w:rsidRDefault="00911084">
      <w:pPr>
        <w:tabs>
          <w:tab w:val="clear" w:pos="851"/>
        </w:tabs>
        <w:jc w:val="center"/>
        <w:rPr>
          <w:b/>
        </w:rPr>
      </w:pPr>
    </w:p>
    <w:p w14:paraId="43AF6870" w14:textId="30E88D28" w:rsidR="008E1682" w:rsidRPr="00E3618B" w:rsidRDefault="008E1682" w:rsidP="008E1682">
      <w:pPr>
        <w:jc w:val="center"/>
        <w:rPr>
          <w:rFonts w:cs="Arial"/>
          <w:b/>
          <w:color w:val="000000" w:themeColor="text1"/>
          <w:szCs w:val="22"/>
        </w:rPr>
      </w:pPr>
      <w:bookmarkStart w:id="7" w:name="_Hlk123914573"/>
      <w:r>
        <w:rPr>
          <w:rFonts w:cs="Arial"/>
          <w:b/>
          <w:color w:val="000000" w:themeColor="text1"/>
          <w:szCs w:val="22"/>
        </w:rPr>
        <w:t>R</w:t>
      </w:r>
      <w:r w:rsidRPr="00E3618B">
        <w:rPr>
          <w:rFonts w:cs="Arial"/>
          <w:b/>
          <w:color w:val="000000" w:themeColor="text1"/>
          <w:szCs w:val="22"/>
        </w:rPr>
        <w:t xml:space="preserve">evised draft amendments to MARPOL Annex VI </w:t>
      </w:r>
      <w:bookmarkEnd w:id="7"/>
      <w:r w:rsidRPr="00E3618B">
        <w:rPr>
          <w:rFonts w:cs="Arial"/>
          <w:b/>
          <w:color w:val="000000" w:themeColor="text1"/>
          <w:szCs w:val="22"/>
        </w:rPr>
        <w:t xml:space="preserve">for an </w:t>
      </w:r>
      <w:r w:rsidRPr="00E3618B">
        <w:rPr>
          <w:rFonts w:cs="Arial"/>
          <w:b/>
          <w:color w:val="000000" w:themeColor="text1"/>
          <w:szCs w:val="22"/>
        </w:rPr>
        <w:br/>
        <w:t>integrated IMO Net</w:t>
      </w:r>
      <w:r w:rsidR="00B914E9">
        <w:rPr>
          <w:rFonts w:cs="Arial"/>
          <w:b/>
          <w:color w:val="000000" w:themeColor="text1"/>
          <w:szCs w:val="22"/>
        </w:rPr>
        <w:t xml:space="preserve"> </w:t>
      </w:r>
      <w:r w:rsidRPr="00E3618B">
        <w:rPr>
          <w:rFonts w:cs="Arial"/>
          <w:b/>
          <w:color w:val="000000" w:themeColor="text1"/>
          <w:szCs w:val="22"/>
        </w:rPr>
        <w:t>Zero Framework</w:t>
      </w:r>
    </w:p>
    <w:p w14:paraId="1AF8164B" w14:textId="77777777" w:rsidR="00F41638" w:rsidRDefault="00F41638">
      <w:pPr>
        <w:tabs>
          <w:tab w:val="clear" w:pos="851"/>
        </w:tabs>
        <w:jc w:val="center"/>
        <w:rPr>
          <w:b/>
        </w:rPr>
      </w:pPr>
    </w:p>
    <w:p w14:paraId="2683511B" w14:textId="28506960" w:rsidR="008E1682" w:rsidRPr="00E3618B" w:rsidRDefault="008E1682" w:rsidP="008E1682">
      <w:pPr>
        <w:tabs>
          <w:tab w:val="clear" w:pos="851"/>
        </w:tabs>
        <w:jc w:val="center"/>
        <w:rPr>
          <w:b/>
          <w:color w:val="000000" w:themeColor="text1"/>
        </w:rPr>
      </w:pPr>
      <w:r w:rsidRPr="00E3618B">
        <w:rPr>
          <w:b/>
          <w:color w:val="000000" w:themeColor="text1"/>
        </w:rPr>
        <w:t>Submitted by</w:t>
      </w:r>
      <w:r>
        <w:rPr>
          <w:b/>
          <w:color w:val="000000" w:themeColor="text1"/>
        </w:rPr>
        <w:t xml:space="preserve"> Bahamas, Liberia</w:t>
      </w:r>
      <w:r w:rsidR="00F5434C">
        <w:rPr>
          <w:b/>
          <w:color w:val="000000" w:themeColor="text1"/>
        </w:rPr>
        <w:t xml:space="preserve"> </w:t>
      </w:r>
      <w:r w:rsidRPr="00E3618B">
        <w:rPr>
          <w:b/>
          <w:color w:val="000000" w:themeColor="text1"/>
        </w:rPr>
        <w:t>and ICS</w:t>
      </w:r>
    </w:p>
    <w:p w14:paraId="42E90532" w14:textId="77777777" w:rsidR="00911084" w:rsidRDefault="00911084">
      <w:pPr>
        <w:tabs>
          <w:tab w:val="clear" w:pos="851"/>
        </w:tabs>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32" w:type="dxa"/>
          <w:right w:w="132" w:type="dxa"/>
        </w:tblCellMar>
        <w:tblLook w:val="0000" w:firstRow="0" w:lastRow="0" w:firstColumn="0" w:lastColumn="0" w:noHBand="0" w:noVBand="0"/>
      </w:tblPr>
      <w:tblGrid>
        <w:gridCol w:w="2245"/>
        <w:gridCol w:w="6755"/>
      </w:tblGrid>
      <w:tr w:rsidR="00911084" w14:paraId="11F2D79D" w14:textId="77777777">
        <w:trPr>
          <w:jc w:val="center"/>
        </w:trPr>
        <w:tc>
          <w:tcPr>
            <w:tcW w:w="9000" w:type="dxa"/>
            <w:gridSpan w:val="2"/>
            <w:tcMar>
              <w:top w:w="85" w:type="dxa"/>
              <w:left w:w="85" w:type="dxa"/>
              <w:bottom w:w="85" w:type="dxa"/>
              <w:right w:w="85" w:type="dxa"/>
            </w:tcMar>
          </w:tcPr>
          <w:p w14:paraId="00792230" w14:textId="77777777" w:rsidR="00911084" w:rsidRDefault="00911084">
            <w:pPr>
              <w:spacing w:line="120" w:lineRule="exact"/>
              <w:rPr>
                <w:bCs/>
              </w:rPr>
            </w:pPr>
          </w:p>
          <w:p w14:paraId="422148CE" w14:textId="77777777" w:rsidR="00911084" w:rsidRDefault="001C42BF">
            <w:pPr>
              <w:tabs>
                <w:tab w:val="clear" w:pos="851"/>
              </w:tabs>
              <w:spacing w:after="58"/>
              <w:jc w:val="center"/>
              <w:rPr>
                <w:b/>
              </w:rPr>
            </w:pPr>
            <w:r>
              <w:rPr>
                <w:b/>
              </w:rPr>
              <w:t>SUMMARY</w:t>
            </w:r>
          </w:p>
        </w:tc>
      </w:tr>
      <w:tr w:rsidR="002030AA" w14:paraId="130D27B8" w14:textId="77777777">
        <w:trPr>
          <w:jc w:val="center"/>
        </w:trPr>
        <w:tc>
          <w:tcPr>
            <w:tcW w:w="2245" w:type="dxa"/>
            <w:tcMar>
              <w:top w:w="85" w:type="dxa"/>
              <w:left w:w="85" w:type="dxa"/>
              <w:bottom w:w="85" w:type="dxa"/>
              <w:right w:w="85" w:type="dxa"/>
            </w:tcMar>
          </w:tcPr>
          <w:p w14:paraId="2C4659A2" w14:textId="77777777" w:rsidR="002030AA" w:rsidRDefault="002030AA" w:rsidP="002030AA">
            <w:pPr>
              <w:spacing w:after="58"/>
              <w:rPr>
                <w:bCs/>
              </w:rPr>
            </w:pPr>
            <w:r>
              <w:rPr>
                <w:bCs/>
                <w:i/>
              </w:rPr>
              <w:t>Executive summary:</w:t>
            </w:r>
          </w:p>
        </w:tc>
        <w:tc>
          <w:tcPr>
            <w:tcW w:w="6755" w:type="dxa"/>
            <w:tcMar>
              <w:top w:w="85" w:type="dxa"/>
              <w:left w:w="85" w:type="dxa"/>
              <w:bottom w:w="85" w:type="dxa"/>
              <w:right w:w="85" w:type="dxa"/>
            </w:tcMar>
          </w:tcPr>
          <w:p w14:paraId="21E96D27" w14:textId="6B20A501" w:rsidR="002030AA" w:rsidRDefault="00321D04" w:rsidP="002030AA">
            <w:pPr>
              <w:tabs>
                <w:tab w:val="clear" w:pos="851"/>
              </w:tabs>
              <w:spacing w:after="58"/>
              <w:rPr>
                <w:bCs/>
              </w:rPr>
            </w:pPr>
            <w:bookmarkStart w:id="8" w:name="Execsum"/>
            <w:bookmarkEnd w:id="8"/>
            <w:r>
              <w:rPr>
                <w:rFonts w:cs="Arial"/>
                <w:color w:val="000000" w:themeColor="text1"/>
                <w:szCs w:val="22"/>
              </w:rPr>
              <w:t>To present an</w:t>
            </w:r>
            <w:r w:rsidRPr="00E3618B">
              <w:rPr>
                <w:rFonts w:cs="Arial"/>
                <w:color w:val="000000" w:themeColor="text1"/>
                <w:szCs w:val="22"/>
              </w:rPr>
              <w:t xml:space="preserve"> integrated </w:t>
            </w:r>
            <w:r>
              <w:rPr>
                <w:rFonts w:cs="Arial"/>
                <w:color w:val="000000" w:themeColor="text1"/>
                <w:szCs w:val="22"/>
              </w:rPr>
              <w:t>“</w:t>
            </w:r>
            <w:r w:rsidRPr="00E3618B">
              <w:rPr>
                <w:rFonts w:cs="Arial"/>
                <w:color w:val="000000" w:themeColor="text1"/>
                <w:szCs w:val="22"/>
              </w:rPr>
              <w:t>IMO Net</w:t>
            </w:r>
            <w:r w:rsidR="00B914E9">
              <w:rPr>
                <w:rFonts w:cs="Arial"/>
                <w:color w:val="000000" w:themeColor="text1"/>
                <w:szCs w:val="22"/>
              </w:rPr>
              <w:t xml:space="preserve"> </w:t>
            </w:r>
            <w:r w:rsidRPr="00E3618B">
              <w:rPr>
                <w:rFonts w:cs="Arial"/>
                <w:color w:val="000000" w:themeColor="text1"/>
                <w:szCs w:val="22"/>
              </w:rPr>
              <w:t>Zero Framework</w:t>
            </w:r>
            <w:r>
              <w:rPr>
                <w:rFonts w:cs="Arial"/>
                <w:color w:val="000000" w:themeColor="text1"/>
                <w:szCs w:val="22"/>
              </w:rPr>
              <w:t>”</w:t>
            </w:r>
            <w:r w:rsidRPr="00E3618B">
              <w:rPr>
                <w:rFonts w:cs="Arial"/>
                <w:color w:val="000000" w:themeColor="text1"/>
                <w:szCs w:val="22"/>
              </w:rPr>
              <w:t xml:space="preserve"> </w:t>
            </w:r>
            <w:r>
              <w:rPr>
                <w:rFonts w:cs="Arial"/>
                <w:color w:val="000000" w:themeColor="text1"/>
                <w:szCs w:val="22"/>
              </w:rPr>
              <w:t xml:space="preserve">which </w:t>
            </w:r>
            <w:r w:rsidRPr="00E3618B">
              <w:rPr>
                <w:rFonts w:cs="Arial"/>
                <w:color w:val="000000" w:themeColor="text1"/>
                <w:szCs w:val="22"/>
              </w:rPr>
              <w:t>is readily implementable, enabl</w:t>
            </w:r>
            <w:r>
              <w:rPr>
                <w:rFonts w:cs="Arial"/>
                <w:color w:val="000000" w:themeColor="text1"/>
                <w:szCs w:val="22"/>
              </w:rPr>
              <w:t>ing</w:t>
            </w:r>
            <w:r w:rsidRPr="00E3618B">
              <w:rPr>
                <w:rFonts w:cs="Arial"/>
                <w:color w:val="000000" w:themeColor="text1"/>
                <w:szCs w:val="22"/>
              </w:rPr>
              <w:t xml:space="preserve"> </w:t>
            </w:r>
            <w:r>
              <w:rPr>
                <w:rFonts w:cs="Arial"/>
                <w:color w:val="000000" w:themeColor="text1"/>
                <w:szCs w:val="22"/>
              </w:rPr>
              <w:t xml:space="preserve">achievement of </w:t>
            </w:r>
            <w:r w:rsidRPr="00E3618B">
              <w:rPr>
                <w:rFonts w:cs="Arial"/>
                <w:color w:val="000000" w:themeColor="text1"/>
                <w:szCs w:val="22"/>
              </w:rPr>
              <w:t>all the 2023 IMO GHG Strategy</w:t>
            </w:r>
            <w:r>
              <w:rPr>
                <w:rFonts w:cs="Arial"/>
                <w:color w:val="000000" w:themeColor="text1"/>
                <w:szCs w:val="22"/>
              </w:rPr>
              <w:t xml:space="preserve">’s goals, </w:t>
            </w:r>
            <w:r>
              <w:rPr>
                <w:bCs/>
                <w:color w:val="000000" w:themeColor="text1"/>
              </w:rPr>
              <w:t>t</w:t>
            </w:r>
            <w:r w:rsidRPr="00E3618B">
              <w:rPr>
                <w:bCs/>
                <w:color w:val="000000" w:themeColor="text1"/>
              </w:rPr>
              <w:t>h</w:t>
            </w:r>
            <w:r>
              <w:rPr>
                <w:bCs/>
                <w:color w:val="000000" w:themeColor="text1"/>
              </w:rPr>
              <w:t xml:space="preserve">e co-sponsors </w:t>
            </w:r>
            <w:r w:rsidRPr="00E3618B">
              <w:rPr>
                <w:rFonts w:cs="Arial"/>
                <w:color w:val="000000" w:themeColor="text1"/>
                <w:szCs w:val="22"/>
              </w:rPr>
              <w:t>revise and combine proposals</w:t>
            </w:r>
            <w:r>
              <w:rPr>
                <w:rFonts w:cs="Arial"/>
                <w:color w:val="000000" w:themeColor="text1"/>
                <w:szCs w:val="22"/>
              </w:rPr>
              <w:t xml:space="preserve"> for </w:t>
            </w:r>
            <w:r w:rsidRPr="00E3618B">
              <w:rPr>
                <w:rFonts w:cs="Arial"/>
                <w:color w:val="000000" w:themeColor="text1"/>
                <w:szCs w:val="22"/>
              </w:rPr>
              <w:t xml:space="preserve">a </w:t>
            </w:r>
            <w:r w:rsidRPr="00692FA1">
              <w:rPr>
                <w:rFonts w:cs="Arial"/>
                <w:color w:val="000000" w:themeColor="text1"/>
                <w:szCs w:val="22"/>
                <w:u w:val="single"/>
              </w:rPr>
              <w:t>simplified</w:t>
            </w:r>
            <w:r>
              <w:rPr>
                <w:rFonts w:cs="Arial"/>
                <w:color w:val="000000" w:themeColor="text1"/>
                <w:szCs w:val="22"/>
              </w:rPr>
              <w:t xml:space="preserve"> goal-based fuel standard </w:t>
            </w:r>
            <w:r w:rsidRPr="00E3618B">
              <w:rPr>
                <w:rFonts w:cs="Arial"/>
                <w:color w:val="000000" w:themeColor="text1"/>
                <w:szCs w:val="22"/>
              </w:rPr>
              <w:t xml:space="preserve">and </w:t>
            </w:r>
            <w:r>
              <w:rPr>
                <w:rFonts w:cs="Arial"/>
                <w:color w:val="000000" w:themeColor="text1"/>
                <w:szCs w:val="22"/>
              </w:rPr>
              <w:t xml:space="preserve">a </w:t>
            </w:r>
            <w:r w:rsidRPr="00692FA1">
              <w:rPr>
                <w:rFonts w:cs="Arial"/>
                <w:color w:val="000000" w:themeColor="text1"/>
                <w:szCs w:val="22"/>
                <w:u w:val="single"/>
              </w:rPr>
              <w:t>distinct</w:t>
            </w:r>
            <w:r w:rsidRPr="00C43595">
              <w:rPr>
                <w:rFonts w:cs="Arial"/>
                <w:color w:val="000000" w:themeColor="text1"/>
                <w:szCs w:val="22"/>
              </w:rPr>
              <w:t xml:space="preserve"> </w:t>
            </w:r>
            <w:r>
              <w:rPr>
                <w:rFonts w:cs="Arial"/>
                <w:color w:val="000000" w:themeColor="text1"/>
                <w:szCs w:val="22"/>
              </w:rPr>
              <w:t xml:space="preserve">maritime </w:t>
            </w:r>
            <w:r w:rsidRPr="00E3618B">
              <w:rPr>
                <w:rFonts w:cs="Arial"/>
                <w:color w:val="000000" w:themeColor="text1"/>
                <w:szCs w:val="22"/>
              </w:rPr>
              <w:t xml:space="preserve">GHG </w:t>
            </w:r>
            <w:r>
              <w:rPr>
                <w:rFonts w:cs="Arial"/>
                <w:color w:val="000000" w:themeColor="text1"/>
                <w:szCs w:val="22"/>
              </w:rPr>
              <w:t>emissions pricing mechanism</w:t>
            </w:r>
            <w:r w:rsidRPr="00E3618B">
              <w:rPr>
                <w:rFonts w:cs="Arial"/>
                <w:color w:val="000000" w:themeColor="text1"/>
                <w:szCs w:val="22"/>
              </w:rPr>
              <w:t xml:space="preserve">. </w:t>
            </w:r>
            <w:r>
              <w:rPr>
                <w:rFonts w:cs="Arial"/>
                <w:color w:val="000000" w:themeColor="text1"/>
                <w:szCs w:val="22"/>
              </w:rPr>
              <w:t xml:space="preserve">Using the “illustration” agreed at MEPC 81, </w:t>
            </w:r>
            <w:r w:rsidRPr="00E3618B">
              <w:rPr>
                <w:rFonts w:cs="Arial"/>
                <w:color w:val="000000" w:themeColor="text1"/>
                <w:szCs w:val="22"/>
              </w:rPr>
              <w:t>draft amendments to</w:t>
            </w:r>
            <w:r>
              <w:rPr>
                <w:rFonts w:cs="Arial"/>
                <w:color w:val="000000" w:themeColor="text1"/>
                <w:szCs w:val="22"/>
              </w:rPr>
              <w:t xml:space="preserve"> MARPOL </w:t>
            </w:r>
            <w:r w:rsidRPr="00E3618B">
              <w:rPr>
                <w:rFonts w:cs="Arial"/>
                <w:color w:val="000000" w:themeColor="text1"/>
                <w:szCs w:val="22"/>
              </w:rPr>
              <w:t xml:space="preserve">Annex VI </w:t>
            </w:r>
            <w:r>
              <w:rPr>
                <w:rFonts w:cs="Arial"/>
                <w:color w:val="000000" w:themeColor="text1"/>
                <w:szCs w:val="22"/>
              </w:rPr>
              <w:t xml:space="preserve">are </w:t>
            </w:r>
            <w:r w:rsidRPr="00E3618B">
              <w:rPr>
                <w:rFonts w:cs="Arial"/>
                <w:color w:val="000000" w:themeColor="text1"/>
                <w:szCs w:val="22"/>
              </w:rPr>
              <w:t>provided</w:t>
            </w:r>
            <w:r>
              <w:rPr>
                <w:rFonts w:cs="Arial"/>
                <w:color w:val="000000" w:themeColor="text1"/>
                <w:szCs w:val="22"/>
              </w:rPr>
              <w:t xml:space="preserve">. Critically, these include an initial </w:t>
            </w:r>
            <w:r w:rsidRPr="00A55D2E">
              <w:rPr>
                <w:rFonts w:cs="Arial"/>
                <w:color w:val="000000" w:themeColor="text1"/>
                <w:szCs w:val="22"/>
              </w:rPr>
              <w:t>flat rate</w:t>
            </w:r>
            <w:r>
              <w:rPr>
                <w:rFonts w:cs="Arial"/>
                <w:color w:val="000000" w:themeColor="text1"/>
                <w:szCs w:val="22"/>
              </w:rPr>
              <w:t xml:space="preserve"> GHG fee per tonne of CO</w:t>
            </w:r>
            <w:r w:rsidRPr="005F5637">
              <w:rPr>
                <w:rFonts w:cs="Arial"/>
                <w:color w:val="000000" w:themeColor="text1"/>
                <w:szCs w:val="22"/>
                <w:vertAlign w:val="subscript"/>
              </w:rPr>
              <w:t>2</w:t>
            </w:r>
            <w:r>
              <w:rPr>
                <w:rFonts w:cs="Arial"/>
                <w:color w:val="000000" w:themeColor="text1"/>
                <w:szCs w:val="22"/>
              </w:rPr>
              <w:t>e emitted, e.g. US$18.75</w:t>
            </w:r>
            <w:r>
              <w:t xml:space="preserve"> (or </w:t>
            </w:r>
            <w:r w:rsidRPr="00B12848">
              <w:rPr>
                <w:rFonts w:cs="Arial"/>
                <w:color w:val="000000" w:themeColor="text1"/>
                <w:szCs w:val="22"/>
              </w:rPr>
              <w:t>US$</w:t>
            </w:r>
            <w:r>
              <w:rPr>
                <w:rFonts w:cs="Arial"/>
                <w:color w:val="000000" w:themeColor="text1"/>
                <w:szCs w:val="22"/>
              </w:rPr>
              <w:t>60</w:t>
            </w:r>
            <w:r w:rsidRPr="00B12848">
              <w:rPr>
                <w:rFonts w:cs="Arial"/>
                <w:color w:val="000000" w:themeColor="text1"/>
                <w:szCs w:val="22"/>
              </w:rPr>
              <w:t xml:space="preserve"> per tonne of conventional fuel oil</w:t>
            </w:r>
            <w:r>
              <w:rPr>
                <w:rFonts w:cs="Arial"/>
                <w:color w:val="000000" w:themeColor="text1"/>
                <w:szCs w:val="22"/>
              </w:rPr>
              <w:t>), with a feebate (reward) element per tonne of CO</w:t>
            </w:r>
            <w:r w:rsidRPr="00377035">
              <w:rPr>
                <w:rFonts w:cs="Arial"/>
                <w:color w:val="000000" w:themeColor="text1"/>
                <w:szCs w:val="22"/>
                <w:vertAlign w:val="subscript"/>
              </w:rPr>
              <w:t>2</w:t>
            </w:r>
            <w:r>
              <w:rPr>
                <w:rFonts w:cs="Arial"/>
                <w:color w:val="000000" w:themeColor="text1"/>
                <w:szCs w:val="22"/>
              </w:rPr>
              <w:t>e prevented to incentivise accelerated production and uptake of zero/near-zero GHG fuels</w:t>
            </w:r>
            <w:r w:rsidR="00D915C0">
              <w:rPr>
                <w:rFonts w:cs="Arial"/>
                <w:color w:val="000000" w:themeColor="text1"/>
                <w:szCs w:val="22"/>
              </w:rPr>
              <w:t xml:space="preserve">, </w:t>
            </w:r>
            <w:r>
              <w:rPr>
                <w:rFonts w:cs="Arial"/>
                <w:color w:val="000000" w:themeColor="text1"/>
                <w:szCs w:val="22"/>
              </w:rPr>
              <w:t xml:space="preserve">energy sources and </w:t>
            </w:r>
            <w:r w:rsidR="00D915C0">
              <w:rPr>
                <w:rFonts w:cs="Arial"/>
                <w:color w:val="000000" w:themeColor="text1"/>
                <w:szCs w:val="22"/>
              </w:rPr>
              <w:t xml:space="preserve">innovative </w:t>
            </w:r>
            <w:r>
              <w:rPr>
                <w:rFonts w:cs="Arial"/>
                <w:color w:val="000000" w:themeColor="text1"/>
                <w:szCs w:val="22"/>
              </w:rPr>
              <w:t>technologies</w:t>
            </w:r>
            <w:r w:rsidR="00860322">
              <w:rPr>
                <w:rFonts w:cs="Arial"/>
                <w:color w:val="000000" w:themeColor="text1"/>
                <w:szCs w:val="22"/>
              </w:rPr>
              <w:t>,</w:t>
            </w:r>
            <w:r>
              <w:rPr>
                <w:rFonts w:cs="Arial"/>
                <w:color w:val="000000" w:themeColor="text1"/>
                <w:szCs w:val="22"/>
              </w:rPr>
              <w:t xml:space="preserve"> allowing, as a by-product, up to about US$2.5 billion per year to be allocated to an “IMO Net Zero Shipping Fund” to support developing countries. Without these crucial elements, the Organization will not succeed in achieving the 2023 IMO GHG Strategy’s goals, leading to proliferation of piecemeal, unilateral GHG charges being applied to shipping worldwide, with regulatory chaos, economic inefficiency and damage to IMO’s authority as shipping’s global regulator.</w:t>
            </w:r>
          </w:p>
        </w:tc>
      </w:tr>
      <w:tr w:rsidR="002030AA" w14:paraId="7147B349" w14:textId="77777777">
        <w:trPr>
          <w:jc w:val="center"/>
        </w:trPr>
        <w:tc>
          <w:tcPr>
            <w:tcW w:w="2245" w:type="dxa"/>
            <w:tcMar>
              <w:top w:w="85" w:type="dxa"/>
              <w:left w:w="85" w:type="dxa"/>
              <w:bottom w:w="85" w:type="dxa"/>
              <w:right w:w="85" w:type="dxa"/>
            </w:tcMar>
          </w:tcPr>
          <w:p w14:paraId="7AB97A4F" w14:textId="77777777" w:rsidR="002030AA" w:rsidRDefault="002030AA" w:rsidP="002030AA">
            <w:pPr>
              <w:spacing w:after="58"/>
              <w:rPr>
                <w:bCs/>
              </w:rPr>
            </w:pPr>
            <w:r>
              <w:rPr>
                <w:bCs/>
                <w:i/>
              </w:rPr>
              <w:t>Strategic direction, if applicable:</w:t>
            </w:r>
          </w:p>
        </w:tc>
        <w:tc>
          <w:tcPr>
            <w:tcW w:w="6755" w:type="dxa"/>
            <w:tcMar>
              <w:top w:w="85" w:type="dxa"/>
              <w:left w:w="85" w:type="dxa"/>
              <w:bottom w:w="85" w:type="dxa"/>
              <w:right w:w="85" w:type="dxa"/>
            </w:tcMar>
          </w:tcPr>
          <w:p w14:paraId="389618F1" w14:textId="37150706" w:rsidR="002030AA" w:rsidRDefault="002030AA" w:rsidP="002030AA">
            <w:pPr>
              <w:tabs>
                <w:tab w:val="clear" w:pos="851"/>
              </w:tabs>
              <w:spacing w:after="58"/>
              <w:rPr>
                <w:bCs/>
              </w:rPr>
            </w:pPr>
            <w:bookmarkStart w:id="9" w:name="StraDir"/>
            <w:bookmarkEnd w:id="9"/>
            <w:r>
              <w:rPr>
                <w:bCs/>
              </w:rPr>
              <w:t>3</w:t>
            </w:r>
          </w:p>
        </w:tc>
      </w:tr>
      <w:tr w:rsidR="002030AA" w14:paraId="788BD2D6" w14:textId="77777777">
        <w:trPr>
          <w:jc w:val="center"/>
        </w:trPr>
        <w:tc>
          <w:tcPr>
            <w:tcW w:w="2245" w:type="dxa"/>
            <w:tcMar>
              <w:top w:w="85" w:type="dxa"/>
              <w:left w:w="85" w:type="dxa"/>
              <w:bottom w:w="85" w:type="dxa"/>
              <w:right w:w="85" w:type="dxa"/>
            </w:tcMar>
          </w:tcPr>
          <w:p w14:paraId="66B5DA46" w14:textId="77777777" w:rsidR="002030AA" w:rsidRDefault="002030AA" w:rsidP="002030AA">
            <w:pPr>
              <w:spacing w:after="58"/>
              <w:rPr>
                <w:bCs/>
              </w:rPr>
            </w:pPr>
            <w:r>
              <w:rPr>
                <w:bCs/>
                <w:i/>
              </w:rPr>
              <w:t>Output:</w:t>
            </w:r>
          </w:p>
        </w:tc>
        <w:tc>
          <w:tcPr>
            <w:tcW w:w="6755" w:type="dxa"/>
            <w:tcMar>
              <w:top w:w="85" w:type="dxa"/>
              <w:left w:w="85" w:type="dxa"/>
              <w:bottom w:w="85" w:type="dxa"/>
              <w:right w:w="85" w:type="dxa"/>
            </w:tcMar>
          </w:tcPr>
          <w:p w14:paraId="698398DA" w14:textId="6331456B" w:rsidR="002030AA" w:rsidRDefault="002030AA" w:rsidP="002030AA">
            <w:pPr>
              <w:tabs>
                <w:tab w:val="clear" w:pos="851"/>
              </w:tabs>
              <w:spacing w:after="58"/>
              <w:rPr>
                <w:bCs/>
              </w:rPr>
            </w:pPr>
            <w:bookmarkStart w:id="10" w:name="PlanOut"/>
            <w:bookmarkEnd w:id="10"/>
            <w:r>
              <w:rPr>
                <w:bCs/>
              </w:rPr>
              <w:t>3.2</w:t>
            </w:r>
          </w:p>
        </w:tc>
      </w:tr>
      <w:tr w:rsidR="002030AA" w14:paraId="56C3FFA7" w14:textId="77777777">
        <w:trPr>
          <w:jc w:val="center"/>
        </w:trPr>
        <w:tc>
          <w:tcPr>
            <w:tcW w:w="2245" w:type="dxa"/>
            <w:tcMar>
              <w:top w:w="85" w:type="dxa"/>
              <w:left w:w="85" w:type="dxa"/>
              <w:bottom w:w="85" w:type="dxa"/>
              <w:right w:w="85" w:type="dxa"/>
            </w:tcMar>
          </w:tcPr>
          <w:p w14:paraId="27244E4F" w14:textId="77777777" w:rsidR="002030AA" w:rsidRDefault="002030AA" w:rsidP="002030AA">
            <w:pPr>
              <w:spacing w:after="58"/>
              <w:rPr>
                <w:bCs/>
              </w:rPr>
            </w:pPr>
            <w:r>
              <w:rPr>
                <w:bCs/>
                <w:i/>
              </w:rPr>
              <w:t>Action to be taken:</w:t>
            </w:r>
          </w:p>
        </w:tc>
        <w:tc>
          <w:tcPr>
            <w:tcW w:w="6755" w:type="dxa"/>
            <w:tcMar>
              <w:top w:w="85" w:type="dxa"/>
              <w:left w:w="85" w:type="dxa"/>
              <w:bottom w:w="85" w:type="dxa"/>
              <w:right w:w="85" w:type="dxa"/>
            </w:tcMar>
          </w:tcPr>
          <w:p w14:paraId="36DCFC33" w14:textId="58F72E1D" w:rsidR="002030AA" w:rsidRDefault="002030AA" w:rsidP="002030AA">
            <w:pPr>
              <w:tabs>
                <w:tab w:val="clear" w:pos="851"/>
              </w:tabs>
              <w:spacing w:after="58"/>
              <w:rPr>
                <w:bCs/>
              </w:rPr>
            </w:pPr>
            <w:bookmarkStart w:id="11" w:name="Action"/>
            <w:bookmarkEnd w:id="11"/>
            <w:r w:rsidRPr="00E3618B">
              <w:rPr>
                <w:bCs/>
                <w:color w:val="000000" w:themeColor="text1"/>
              </w:rPr>
              <w:t xml:space="preserve">Paragraph </w:t>
            </w:r>
            <w:r w:rsidRPr="001E4BD3">
              <w:rPr>
                <w:bCs/>
                <w:color w:val="000000" w:themeColor="text1"/>
              </w:rPr>
              <w:t>93</w:t>
            </w:r>
          </w:p>
        </w:tc>
      </w:tr>
      <w:tr w:rsidR="002030AA" w14:paraId="4BF41271" w14:textId="77777777">
        <w:trPr>
          <w:jc w:val="center"/>
        </w:trPr>
        <w:tc>
          <w:tcPr>
            <w:tcW w:w="2245" w:type="dxa"/>
            <w:tcMar>
              <w:top w:w="85" w:type="dxa"/>
              <w:left w:w="85" w:type="dxa"/>
              <w:bottom w:w="85" w:type="dxa"/>
              <w:right w:w="85" w:type="dxa"/>
            </w:tcMar>
          </w:tcPr>
          <w:p w14:paraId="38337C51" w14:textId="77777777" w:rsidR="002030AA" w:rsidRDefault="002030AA" w:rsidP="002030AA">
            <w:pPr>
              <w:spacing w:after="58"/>
              <w:rPr>
                <w:bCs/>
              </w:rPr>
            </w:pPr>
            <w:r>
              <w:rPr>
                <w:bCs/>
                <w:i/>
              </w:rPr>
              <w:t>Related documents:</w:t>
            </w:r>
          </w:p>
        </w:tc>
        <w:tc>
          <w:tcPr>
            <w:tcW w:w="6755" w:type="dxa"/>
            <w:tcMar>
              <w:top w:w="85" w:type="dxa"/>
              <w:left w:w="85" w:type="dxa"/>
              <w:bottom w:w="85" w:type="dxa"/>
              <w:right w:w="85" w:type="dxa"/>
            </w:tcMar>
          </w:tcPr>
          <w:p w14:paraId="2A34F051" w14:textId="36D67A3F" w:rsidR="002030AA" w:rsidRDefault="002030AA" w:rsidP="002030AA">
            <w:pPr>
              <w:tabs>
                <w:tab w:val="clear" w:pos="851"/>
              </w:tabs>
              <w:spacing w:after="58"/>
              <w:rPr>
                <w:bCs/>
              </w:rPr>
            </w:pPr>
            <w:bookmarkStart w:id="12" w:name="Reldoc"/>
            <w:bookmarkEnd w:id="12"/>
            <w:r w:rsidRPr="00E3618B">
              <w:rPr>
                <w:color w:val="000000" w:themeColor="text1"/>
              </w:rPr>
              <w:t xml:space="preserve">MEPC 81/16, MEPC 81/16/Add.1, MEPC 81/WP.4; </w:t>
            </w:r>
            <w:r w:rsidRPr="00E3618B">
              <w:rPr>
                <w:color w:val="000000" w:themeColor="text1"/>
              </w:rPr>
              <w:br/>
              <w:t xml:space="preserve">ISWG-GHG 16/2, ISWG-GHG 16/2/1, ISWG-GHG 16/2/2, </w:t>
            </w:r>
            <w:r w:rsidRPr="00E3618B">
              <w:rPr>
                <w:color w:val="000000" w:themeColor="text1"/>
              </w:rPr>
              <w:br/>
              <w:t xml:space="preserve">ISWG-GHG 16/2/3; resolution MEPC.391 (81); </w:t>
            </w:r>
            <w:r>
              <w:rPr>
                <w:color w:val="000000" w:themeColor="text1"/>
              </w:rPr>
              <w:br/>
            </w:r>
            <w:r w:rsidRPr="00E3618B">
              <w:rPr>
                <w:bCs/>
                <w:color w:val="000000" w:themeColor="text1"/>
              </w:rPr>
              <w:t>resolution MEPC.377(80)</w:t>
            </w:r>
          </w:p>
        </w:tc>
      </w:tr>
    </w:tbl>
    <w:p w14:paraId="0F7B20B3" w14:textId="77777777" w:rsidR="00537739" w:rsidRDefault="00537739" w:rsidP="008E1682">
      <w:pPr>
        <w:tabs>
          <w:tab w:val="clear" w:pos="851"/>
        </w:tabs>
        <w:jc w:val="left"/>
        <w:rPr>
          <w:b/>
          <w:bCs/>
        </w:rPr>
      </w:pPr>
    </w:p>
    <w:p w14:paraId="6B4F7F60" w14:textId="47A491D3" w:rsidR="008E1682" w:rsidRPr="008E1682" w:rsidRDefault="008E1682" w:rsidP="008E1682">
      <w:pPr>
        <w:tabs>
          <w:tab w:val="clear" w:pos="851"/>
        </w:tabs>
        <w:jc w:val="left"/>
        <w:rPr>
          <w:b/>
          <w:bCs/>
        </w:rPr>
      </w:pPr>
      <w:r w:rsidRPr="008E1682">
        <w:rPr>
          <w:b/>
          <w:bCs/>
        </w:rPr>
        <w:lastRenderedPageBreak/>
        <w:t>INTRODUCTION</w:t>
      </w:r>
    </w:p>
    <w:p w14:paraId="63D67837" w14:textId="77777777" w:rsidR="008E1682" w:rsidRDefault="008E1682" w:rsidP="008E1682">
      <w:pPr>
        <w:tabs>
          <w:tab w:val="clear" w:pos="851"/>
        </w:tabs>
        <w:jc w:val="left"/>
      </w:pPr>
    </w:p>
    <w:p w14:paraId="317ABDA5" w14:textId="14D7B1A1" w:rsidR="00EB02D5" w:rsidRPr="00692FA1" w:rsidRDefault="008E1682" w:rsidP="008622CE">
      <w:r>
        <w:t>1</w:t>
      </w:r>
      <w:r>
        <w:tab/>
        <w:t xml:space="preserve">As called for by the 2023 IMO Strategy on Reduction of GHG Emissions from Ships (2023 IMO GHG Strategy), this document sets out a comprehensive proposal comprising both a </w:t>
      </w:r>
      <w:r w:rsidR="00C020DA" w:rsidRPr="00692FA1">
        <w:rPr>
          <w:u w:val="single"/>
        </w:rPr>
        <w:t>simplified</w:t>
      </w:r>
      <w:r w:rsidR="00C020DA">
        <w:t xml:space="preserve"> </w:t>
      </w:r>
      <w:r>
        <w:t xml:space="preserve">goal-based GHG fuel standard and a </w:t>
      </w:r>
      <w:r w:rsidR="0024019A" w:rsidRPr="00692FA1">
        <w:rPr>
          <w:u w:val="single"/>
        </w:rPr>
        <w:t>distinct</w:t>
      </w:r>
      <w:r>
        <w:t xml:space="preserve"> maritime GHG emissions pricing mechanism which is based on annual flat rate contributions (GHG fees) by ships per tonne of CO</w:t>
      </w:r>
      <w:r w:rsidRPr="00122CF3">
        <w:rPr>
          <w:vertAlign w:val="subscript"/>
        </w:rPr>
        <w:t>2</w:t>
      </w:r>
      <w:r>
        <w:t xml:space="preserve"> equivalent (CO</w:t>
      </w:r>
      <w:r w:rsidRPr="00122CF3">
        <w:rPr>
          <w:vertAlign w:val="subscript"/>
        </w:rPr>
        <w:t>2</w:t>
      </w:r>
      <w:r>
        <w:t>e) emitted, with feebates (rewards) to ships for the CO</w:t>
      </w:r>
      <w:r w:rsidRPr="00122CF3">
        <w:rPr>
          <w:vertAlign w:val="subscript"/>
        </w:rPr>
        <w:t>2</w:t>
      </w:r>
      <w:r>
        <w:t>e emissions prevented by the production and uptake of zero/near-zero (GHG) fuels, energy sources and technologies</w:t>
      </w:r>
      <w:r w:rsidR="00BF1277">
        <w:t>.</w:t>
      </w:r>
    </w:p>
    <w:p w14:paraId="564FD08B" w14:textId="77777777" w:rsidR="008E1682" w:rsidRDefault="008E1682" w:rsidP="008E1682">
      <w:pPr>
        <w:tabs>
          <w:tab w:val="clear" w:pos="851"/>
        </w:tabs>
      </w:pPr>
    </w:p>
    <w:p w14:paraId="4F005842" w14:textId="674A3C76" w:rsidR="008E1682" w:rsidRDefault="008E1682" w:rsidP="008E1682">
      <w:pPr>
        <w:tabs>
          <w:tab w:val="clear" w:pos="851"/>
        </w:tabs>
      </w:pPr>
      <w:r>
        <w:t>2</w:t>
      </w:r>
      <w:r>
        <w:tab/>
        <w:t xml:space="preserve">Taking account of discussions at ISWG-GHG 16 and MEPC 81, the co-sponsors have revised and combined previous proposals contained, inter alia, in documents ISWG-GHG 16/2 (ICS and IBIA) and ISWG-GHG 16/2/3 (Bahamas, Liberia and ICS). </w:t>
      </w:r>
      <w:r w:rsidR="003E2A48">
        <w:t>Referencing</w:t>
      </w:r>
      <w:r w:rsidR="0011379B">
        <w:t xml:space="preserve"> </w:t>
      </w:r>
      <w:r>
        <w:t>the “illustrative” template agreed at MEPC 81, annex 1 to this document sets out proposed draft amendments to MARPOL Annex VI, presented as an integrated “IMO Net</w:t>
      </w:r>
      <w:r w:rsidR="004005CB">
        <w:t xml:space="preserve"> </w:t>
      </w:r>
      <w:r>
        <w:t>Zero Framework”</w:t>
      </w:r>
      <w:r w:rsidR="00BA70B3">
        <w:t>.</w:t>
      </w:r>
      <w:r>
        <w:t xml:space="preserve"> These proposed draft amendments are intended to be as simple as possible and readily implementable, enabling all the goals of the 2023 IMO GHG Strategy to be achieved. </w:t>
      </w:r>
    </w:p>
    <w:p w14:paraId="248CE2D2" w14:textId="77777777" w:rsidR="008622CE" w:rsidRDefault="008622CE" w:rsidP="008E1682">
      <w:pPr>
        <w:tabs>
          <w:tab w:val="clear" w:pos="851"/>
        </w:tabs>
      </w:pPr>
    </w:p>
    <w:p w14:paraId="12649E00" w14:textId="6A990783" w:rsidR="006352F7" w:rsidRPr="00692FA1" w:rsidRDefault="006352F7" w:rsidP="008622CE">
      <w:pPr>
        <w:rPr>
          <w:b/>
          <w:bCs/>
        </w:rPr>
      </w:pPr>
      <w:r w:rsidRPr="00692FA1">
        <w:rPr>
          <w:b/>
          <w:bCs/>
        </w:rPr>
        <w:t>Setting the quantum of the GHG fee</w:t>
      </w:r>
    </w:p>
    <w:p w14:paraId="217446F8" w14:textId="77777777" w:rsidR="006352F7" w:rsidRPr="00692FA1" w:rsidRDefault="006352F7" w:rsidP="008622CE">
      <w:pPr>
        <w:rPr>
          <w:b/>
          <w:bCs/>
        </w:rPr>
      </w:pPr>
    </w:p>
    <w:p w14:paraId="56C932E7" w14:textId="62AD6318" w:rsidR="007E1B74" w:rsidRDefault="00A0352A" w:rsidP="008622CE">
      <w:r>
        <w:t>3</w:t>
      </w:r>
      <w:r w:rsidR="008622CE">
        <w:t xml:space="preserve"> </w:t>
      </w:r>
      <w:r w:rsidR="00094257">
        <w:tab/>
      </w:r>
      <w:r w:rsidR="008622CE" w:rsidRPr="008629EA">
        <w:t>The</w:t>
      </w:r>
      <w:r w:rsidR="00094257">
        <w:t xml:space="preserve"> </w:t>
      </w:r>
      <w:r w:rsidR="008622CE" w:rsidRPr="008629EA">
        <w:t xml:space="preserve">co-sponsors take no view on what the quantum of the GHG fee should </w:t>
      </w:r>
      <w:r w:rsidR="001F70F4" w:rsidRPr="008629EA">
        <w:t>be but</w:t>
      </w:r>
      <w:r w:rsidR="00B24B5A" w:rsidRPr="00692FA1">
        <w:rPr>
          <w:rFonts w:cs="Arial"/>
          <w:szCs w:val="22"/>
        </w:rPr>
        <w:t xml:space="preserve"> note that it needs to be set at a level which enables the goals of the 2023 IMO </w:t>
      </w:r>
      <w:r w:rsidR="009A3DAD" w:rsidRPr="00692FA1">
        <w:rPr>
          <w:rFonts w:cs="Arial"/>
          <w:szCs w:val="22"/>
        </w:rPr>
        <w:t xml:space="preserve">GHG </w:t>
      </w:r>
      <w:r w:rsidR="00B24B5A" w:rsidRPr="00692FA1">
        <w:rPr>
          <w:rFonts w:cs="Arial"/>
          <w:szCs w:val="22"/>
        </w:rPr>
        <w:t>Strategy to be achieved</w:t>
      </w:r>
      <w:r w:rsidR="002C1CD9" w:rsidRPr="00692FA1">
        <w:rPr>
          <w:rFonts w:cs="Arial"/>
          <w:szCs w:val="22"/>
        </w:rPr>
        <w:t xml:space="preserve"> </w:t>
      </w:r>
      <w:r w:rsidR="009A3DAD" w:rsidRPr="002C1CD9">
        <w:t xml:space="preserve">whilst </w:t>
      </w:r>
      <w:r w:rsidR="0089028B">
        <w:t xml:space="preserve">also </w:t>
      </w:r>
      <w:r w:rsidR="0033535C" w:rsidRPr="002C1CD9">
        <w:t>avoid</w:t>
      </w:r>
      <w:r w:rsidR="003B1029">
        <w:t>i</w:t>
      </w:r>
      <w:r w:rsidR="002C1CD9" w:rsidRPr="002C1CD9">
        <w:t>ng</w:t>
      </w:r>
      <w:r w:rsidR="0033535C" w:rsidRPr="002C1CD9">
        <w:t xml:space="preserve"> disproportionately negative impacts.</w:t>
      </w:r>
      <w:r w:rsidR="008622CE" w:rsidRPr="002C1CD9">
        <w:t xml:space="preserve"> </w:t>
      </w:r>
    </w:p>
    <w:p w14:paraId="5B6C60AB" w14:textId="77777777" w:rsidR="007E1B74" w:rsidRDefault="007E1B74" w:rsidP="008622CE"/>
    <w:p w14:paraId="37A85642" w14:textId="730755FA" w:rsidR="008622CE" w:rsidRPr="008629EA" w:rsidRDefault="007E1B74" w:rsidP="00692FA1">
      <w:pPr>
        <w:tabs>
          <w:tab w:val="clear" w:pos="851"/>
        </w:tabs>
      </w:pPr>
      <w:r>
        <w:t>4</w:t>
      </w:r>
      <w:r>
        <w:tab/>
      </w:r>
      <w:r w:rsidR="008622CE" w:rsidRPr="002C1CD9">
        <w:t xml:space="preserve">Nevertheless, to help the Committee find a </w:t>
      </w:r>
      <w:r w:rsidR="00EC1C2F" w:rsidRPr="002C1CD9">
        <w:t xml:space="preserve">possible </w:t>
      </w:r>
      <w:r w:rsidR="008622CE" w:rsidRPr="008629EA">
        <w:t xml:space="preserve">‘landing </w:t>
      </w:r>
      <w:r w:rsidR="00251529">
        <w:t>zone</w:t>
      </w:r>
      <w:r w:rsidR="008622CE" w:rsidRPr="008629EA">
        <w:t xml:space="preserve">’ on this </w:t>
      </w:r>
      <w:r w:rsidR="00CB53B6">
        <w:t xml:space="preserve">important </w:t>
      </w:r>
      <w:r w:rsidR="008622CE" w:rsidRPr="008629EA">
        <w:t>issue</w:t>
      </w:r>
      <w:r w:rsidR="00014577">
        <w:t xml:space="preserve">, </w:t>
      </w:r>
      <w:r w:rsidR="008622CE">
        <w:t>the regulations</w:t>
      </w:r>
      <w:r w:rsidR="008622CE" w:rsidRPr="008629EA">
        <w:t xml:space="preserve"> </w:t>
      </w:r>
      <w:r w:rsidR="005C1DC9">
        <w:t xml:space="preserve">proposed </w:t>
      </w:r>
      <w:r w:rsidR="009925CF">
        <w:t xml:space="preserve">by the co-sponsors </w:t>
      </w:r>
      <w:r w:rsidR="008622CE" w:rsidRPr="008629EA">
        <w:t xml:space="preserve">set out a </w:t>
      </w:r>
      <w:r w:rsidR="00B6142E">
        <w:t>‘</w:t>
      </w:r>
      <w:r w:rsidR="008622CE" w:rsidRPr="008629EA">
        <w:t>rationale</w:t>
      </w:r>
      <w:r w:rsidR="00B6142E">
        <w:t>’</w:t>
      </w:r>
      <w:r w:rsidR="008622CE" w:rsidRPr="008629EA">
        <w:t xml:space="preserve"> for determining the </w:t>
      </w:r>
      <w:r w:rsidR="008622CE" w:rsidRPr="00692FA1">
        <w:rPr>
          <w:u w:val="single"/>
        </w:rPr>
        <w:t>initial</w:t>
      </w:r>
      <w:r w:rsidR="008622CE" w:rsidRPr="008629EA">
        <w:t xml:space="preserve"> quantum of the GHG fee</w:t>
      </w:r>
      <w:r w:rsidR="00913B10">
        <w:t xml:space="preserve">. </w:t>
      </w:r>
      <w:r w:rsidR="00F50A24">
        <w:t>Based on this rationale</w:t>
      </w:r>
      <w:r w:rsidR="008113AF">
        <w:t xml:space="preserve"> – and </w:t>
      </w:r>
      <w:r w:rsidR="008622CE" w:rsidRPr="008629EA">
        <w:t>for illustrative purposes only</w:t>
      </w:r>
      <w:r w:rsidR="00A52035">
        <w:t xml:space="preserve"> – this document suggests</w:t>
      </w:r>
      <w:r w:rsidR="00176FA3">
        <w:t>, for the first five years of implementation</w:t>
      </w:r>
      <w:r w:rsidR="001401FD">
        <w:t>,</w:t>
      </w:r>
      <w:r w:rsidR="00A52035">
        <w:t xml:space="preserve"> </w:t>
      </w:r>
      <w:r w:rsidR="008622CE" w:rsidRPr="008629EA">
        <w:t>that a</w:t>
      </w:r>
      <w:r w:rsidR="00235062">
        <w:t>n in</w:t>
      </w:r>
      <w:r w:rsidR="00385FCA">
        <w:t>i</w:t>
      </w:r>
      <w:r w:rsidR="00235062">
        <w:t>tial</w:t>
      </w:r>
      <w:r w:rsidR="008622CE" w:rsidRPr="008629EA">
        <w:t xml:space="preserve"> </w:t>
      </w:r>
      <w:r w:rsidR="00C96B5C">
        <w:t>fla</w:t>
      </w:r>
      <w:r w:rsidR="00B86E00">
        <w:t>t</w:t>
      </w:r>
      <w:r w:rsidR="00C96B5C">
        <w:t xml:space="preserve"> rate </w:t>
      </w:r>
      <w:r w:rsidR="008622CE" w:rsidRPr="008629EA">
        <w:t xml:space="preserve">GHG fee of </w:t>
      </w:r>
      <w:r w:rsidR="000B11F7">
        <w:t xml:space="preserve">about </w:t>
      </w:r>
      <w:r w:rsidR="008622CE" w:rsidRPr="008629EA">
        <w:t>US$</w:t>
      </w:r>
      <w:r w:rsidR="00A007A0">
        <w:t>18.75</w:t>
      </w:r>
      <w:r w:rsidR="008622CE" w:rsidRPr="008629EA">
        <w:t xml:space="preserve"> per tonne of CO</w:t>
      </w:r>
      <w:r w:rsidR="008622CE" w:rsidRPr="008629EA">
        <w:rPr>
          <w:vertAlign w:val="subscript"/>
        </w:rPr>
        <w:t>2</w:t>
      </w:r>
      <w:r w:rsidR="008622CE" w:rsidRPr="008629EA">
        <w:t>e emitted (equivalent</w:t>
      </w:r>
      <w:r w:rsidR="00BD16A0">
        <w:t xml:space="preserve"> </w:t>
      </w:r>
      <w:r w:rsidR="001F5582">
        <w:t xml:space="preserve">to </w:t>
      </w:r>
      <w:r w:rsidR="008622CE" w:rsidRPr="008629EA">
        <w:t>about US$</w:t>
      </w:r>
      <w:r w:rsidR="00A007A0">
        <w:t>60</w:t>
      </w:r>
      <w:r w:rsidR="008622CE" w:rsidRPr="008629EA">
        <w:t xml:space="preserve"> per tonne of conventional liquid fuel oil</w:t>
      </w:r>
      <w:r w:rsidR="00BD16A0">
        <w:t xml:space="preserve"> consumed</w:t>
      </w:r>
      <w:r w:rsidR="008622CE" w:rsidRPr="008629EA">
        <w:t xml:space="preserve">) might be sufficient to achieve the principal purposes of the </w:t>
      </w:r>
      <w:r w:rsidR="00530122">
        <w:t xml:space="preserve">maritime GHG emissions </w:t>
      </w:r>
      <w:r w:rsidR="001F3ACA">
        <w:t>pricing mechanism</w:t>
      </w:r>
      <w:r w:rsidR="00AC4DFB">
        <w:t xml:space="preserve"> </w:t>
      </w:r>
      <w:r w:rsidR="00A80336">
        <w:t xml:space="preserve">as </w:t>
      </w:r>
      <w:r w:rsidR="00AC4DFB">
        <w:t>set out in the</w:t>
      </w:r>
      <w:r w:rsidR="00A80336">
        <w:t xml:space="preserve"> proposed</w:t>
      </w:r>
      <w:r w:rsidR="00AC4DFB">
        <w:t xml:space="preserve"> regulations</w:t>
      </w:r>
      <w:r w:rsidR="00274665">
        <w:t>. However</w:t>
      </w:r>
      <w:r w:rsidR="001445F1">
        <w:t xml:space="preserve">, </w:t>
      </w:r>
      <w:r w:rsidR="005600B5">
        <w:t xml:space="preserve">subject </w:t>
      </w:r>
      <w:r w:rsidR="003410F2">
        <w:t>to a</w:t>
      </w:r>
      <w:r w:rsidR="005600B5">
        <w:t xml:space="preserve"> review</w:t>
      </w:r>
      <w:r w:rsidR="003410F2">
        <w:t>,</w:t>
      </w:r>
      <w:r w:rsidR="002363C6">
        <w:t xml:space="preserve"> </w:t>
      </w:r>
      <w:r w:rsidR="00104B6E">
        <w:t>the co</w:t>
      </w:r>
      <w:r w:rsidR="00407495">
        <w:t>-sponsors propose that</w:t>
      </w:r>
      <w:r w:rsidR="00104B6E">
        <w:t xml:space="preserve"> </w:t>
      </w:r>
      <w:r w:rsidR="00627867">
        <w:t xml:space="preserve">the GHG fee initially agreed in 2025 </w:t>
      </w:r>
      <w:r w:rsidR="001445F1">
        <w:t xml:space="preserve">could </w:t>
      </w:r>
      <w:r w:rsidR="003410F2">
        <w:t>subsequently be adjusted</w:t>
      </w:r>
      <w:r w:rsidR="00487719">
        <w:t>,</w:t>
      </w:r>
      <w:r w:rsidR="00406180" w:rsidRPr="00406180">
        <w:t xml:space="preserve"> </w:t>
      </w:r>
      <w:r w:rsidR="00406180">
        <w:t xml:space="preserve">to take effect within 5 years of entry into force. </w:t>
      </w:r>
      <w:r w:rsidR="001445F1">
        <w:t xml:space="preserve"> </w:t>
      </w:r>
      <w:r w:rsidR="00176FA3">
        <w:t xml:space="preserve"> </w:t>
      </w:r>
      <w:r w:rsidR="008622CE" w:rsidRPr="008629EA">
        <w:t xml:space="preserve">  </w:t>
      </w:r>
    </w:p>
    <w:p w14:paraId="3B6B2415" w14:textId="77777777" w:rsidR="001717E5" w:rsidRDefault="001717E5" w:rsidP="008E1682">
      <w:pPr>
        <w:tabs>
          <w:tab w:val="clear" w:pos="851"/>
        </w:tabs>
      </w:pPr>
    </w:p>
    <w:p w14:paraId="7C19E406" w14:textId="30C75736" w:rsidR="001717E5" w:rsidRPr="00692FA1" w:rsidRDefault="001717E5" w:rsidP="008E1682">
      <w:pPr>
        <w:tabs>
          <w:tab w:val="clear" w:pos="851"/>
        </w:tabs>
        <w:rPr>
          <w:b/>
          <w:bCs/>
        </w:rPr>
      </w:pPr>
      <w:r w:rsidRPr="00692FA1">
        <w:rPr>
          <w:b/>
          <w:bCs/>
        </w:rPr>
        <w:t xml:space="preserve">A </w:t>
      </w:r>
      <w:r w:rsidR="0023790E" w:rsidRPr="00692FA1">
        <w:rPr>
          <w:b/>
          <w:bCs/>
        </w:rPr>
        <w:t xml:space="preserve">distinct maritime </w:t>
      </w:r>
      <w:r w:rsidRPr="00692FA1">
        <w:rPr>
          <w:b/>
          <w:bCs/>
        </w:rPr>
        <w:t xml:space="preserve">GHG </w:t>
      </w:r>
      <w:r w:rsidR="0023790E" w:rsidRPr="00692FA1">
        <w:rPr>
          <w:b/>
          <w:bCs/>
        </w:rPr>
        <w:t xml:space="preserve">emissions pricing mechanism </w:t>
      </w:r>
    </w:p>
    <w:p w14:paraId="0E55EC40" w14:textId="77777777" w:rsidR="00986BAD" w:rsidRDefault="00986BAD" w:rsidP="008E1682">
      <w:pPr>
        <w:tabs>
          <w:tab w:val="clear" w:pos="851"/>
        </w:tabs>
      </w:pPr>
    </w:p>
    <w:p w14:paraId="46601A91" w14:textId="2AE9E498" w:rsidR="008E1682" w:rsidRDefault="00DC5AAA" w:rsidP="008E1682">
      <w:pPr>
        <w:tabs>
          <w:tab w:val="clear" w:pos="851"/>
        </w:tabs>
      </w:pPr>
      <w:r>
        <w:t>5</w:t>
      </w:r>
      <w:r w:rsidR="008E1682">
        <w:tab/>
        <w:t>The co-sponsors note that the majority of States which have previously co-sponsored submissions on this issue to the Group also support mandatory flat rate contributions (GHG fees) being made by ships per tonne of CO</w:t>
      </w:r>
      <w:r w:rsidR="008E1682" w:rsidRPr="00122CF3">
        <w:rPr>
          <w:vertAlign w:val="subscript"/>
        </w:rPr>
        <w:t>2</w:t>
      </w:r>
      <w:r w:rsidR="008E1682">
        <w:t xml:space="preserve">e emitted via a maritime GHG emissions pricing mechanism that is </w:t>
      </w:r>
      <w:r w:rsidR="0024019A" w:rsidRPr="00692FA1">
        <w:rPr>
          <w:u w:val="single"/>
        </w:rPr>
        <w:t>distinct</w:t>
      </w:r>
      <w:r w:rsidR="008E1682">
        <w:t xml:space="preserve"> to the fuel standard, plus, as a </w:t>
      </w:r>
      <w:r w:rsidR="008E1682" w:rsidRPr="00692FA1">
        <w:rPr>
          <w:u w:val="single"/>
        </w:rPr>
        <w:t>by-product</w:t>
      </w:r>
      <w:r w:rsidR="008E1682">
        <w:t xml:space="preserve"> of the “mechanism”, the establishment of an IMO Fund (which the co-sponsors now propose to call the “IMO Net Zero Shipping Fund”) to support</w:t>
      </w:r>
      <w:r w:rsidR="007337B7">
        <w:t>,</w:t>
      </w:r>
      <w:r w:rsidR="008E1682">
        <w:t xml:space="preserve"> </w:t>
      </w:r>
      <w:r w:rsidR="00526FD9">
        <w:t>inter alia</w:t>
      </w:r>
      <w:r w:rsidR="007337B7">
        <w:t>,</w:t>
      </w:r>
      <w:r w:rsidR="00526FD9">
        <w:t xml:space="preserve"> </w:t>
      </w:r>
      <w:r w:rsidR="008E1682">
        <w:t xml:space="preserve">the maritime GHG reduction efforts of developing countries, in particular LDCs and SIDS. </w:t>
      </w:r>
    </w:p>
    <w:p w14:paraId="6FE8096F" w14:textId="77777777" w:rsidR="008E1682" w:rsidRDefault="008E1682" w:rsidP="008E1682">
      <w:pPr>
        <w:tabs>
          <w:tab w:val="clear" w:pos="851"/>
        </w:tabs>
      </w:pPr>
    </w:p>
    <w:p w14:paraId="33BEE295" w14:textId="2DA3FF5E" w:rsidR="008E1682" w:rsidRDefault="00DC5AAA" w:rsidP="008E1682">
      <w:pPr>
        <w:tabs>
          <w:tab w:val="clear" w:pos="851"/>
        </w:tabs>
      </w:pPr>
      <w:r>
        <w:t>6</w:t>
      </w:r>
      <w:r w:rsidR="008E1682">
        <w:tab/>
        <w:t xml:space="preserve">The co-sponsors recognise that several Member States have concerns about mandatary </w:t>
      </w:r>
      <w:r w:rsidR="00264ECB">
        <w:t xml:space="preserve">flat rate </w:t>
      </w:r>
      <w:r w:rsidR="008E1682">
        <w:t>contributions</w:t>
      </w:r>
      <w:r w:rsidR="00395A9F">
        <w:t xml:space="preserve"> </w:t>
      </w:r>
      <w:r w:rsidR="00432D10">
        <w:t xml:space="preserve">by ships </w:t>
      </w:r>
      <w:r w:rsidR="00395A9F">
        <w:t xml:space="preserve">per tonne of </w:t>
      </w:r>
      <w:r w:rsidR="00432D10">
        <w:t>CO</w:t>
      </w:r>
      <w:r w:rsidR="00432D10" w:rsidRPr="00122CF3">
        <w:rPr>
          <w:vertAlign w:val="subscript"/>
        </w:rPr>
        <w:t>2</w:t>
      </w:r>
      <w:r w:rsidR="00432D10">
        <w:t>e emitted</w:t>
      </w:r>
      <w:r w:rsidR="008E1682">
        <w:t xml:space="preserve">. The co-sponsors have therefore submitted this document to help </w:t>
      </w:r>
      <w:r w:rsidR="00451AEB">
        <w:t xml:space="preserve">address these concerns and </w:t>
      </w:r>
      <w:r w:rsidR="008E1682">
        <w:t xml:space="preserve">take the discussion forward, recognising that the issues are complex and that positions on the detailed design of these measures will further evolve as discussion within the Group and the Committee continues.  </w:t>
      </w:r>
    </w:p>
    <w:p w14:paraId="074D562A" w14:textId="77777777" w:rsidR="008D64D2" w:rsidRDefault="008D64D2" w:rsidP="008E1682">
      <w:pPr>
        <w:tabs>
          <w:tab w:val="clear" w:pos="851"/>
        </w:tabs>
      </w:pPr>
    </w:p>
    <w:p w14:paraId="403E9108" w14:textId="77777777" w:rsidR="001A082F" w:rsidRDefault="001A082F" w:rsidP="008E1682">
      <w:pPr>
        <w:tabs>
          <w:tab w:val="clear" w:pos="851"/>
        </w:tabs>
        <w:rPr>
          <w:b/>
          <w:bCs/>
        </w:rPr>
      </w:pPr>
    </w:p>
    <w:p w14:paraId="47C508BE" w14:textId="77777777" w:rsidR="001A082F" w:rsidRDefault="001A082F" w:rsidP="008E1682">
      <w:pPr>
        <w:tabs>
          <w:tab w:val="clear" w:pos="851"/>
        </w:tabs>
      </w:pPr>
    </w:p>
    <w:p w14:paraId="7ED8B6A3" w14:textId="7009FB50" w:rsidR="00BE1A47" w:rsidRPr="00692FA1" w:rsidRDefault="00BE1A47" w:rsidP="008E1682">
      <w:pPr>
        <w:tabs>
          <w:tab w:val="clear" w:pos="851"/>
        </w:tabs>
        <w:rPr>
          <w:b/>
          <w:bCs/>
        </w:rPr>
      </w:pPr>
      <w:r w:rsidRPr="00692FA1">
        <w:rPr>
          <w:b/>
          <w:bCs/>
        </w:rPr>
        <w:lastRenderedPageBreak/>
        <w:t xml:space="preserve">Ensuring delivery of the IMO 2023 </w:t>
      </w:r>
      <w:r w:rsidR="000749F2" w:rsidRPr="00692FA1">
        <w:rPr>
          <w:b/>
          <w:bCs/>
        </w:rPr>
        <w:t>GHG Strategy’s goals</w:t>
      </w:r>
    </w:p>
    <w:p w14:paraId="4EB58B58" w14:textId="77777777" w:rsidR="00BE1A47" w:rsidRDefault="00BE1A47" w:rsidP="008E1682">
      <w:pPr>
        <w:tabs>
          <w:tab w:val="clear" w:pos="851"/>
        </w:tabs>
      </w:pPr>
    </w:p>
    <w:p w14:paraId="5A3B93F5" w14:textId="2D11028D" w:rsidR="008E1682" w:rsidRPr="001D5F68" w:rsidRDefault="00DC5AAA" w:rsidP="008E1682">
      <w:pPr>
        <w:tabs>
          <w:tab w:val="clear" w:pos="851"/>
        </w:tabs>
      </w:pPr>
      <w:r>
        <w:t>7</w:t>
      </w:r>
      <w:r w:rsidR="008E1682">
        <w:tab/>
        <w:t>The co-sponsors emphasise that the normal approach to developing regulatory amendments to IMO instruments is different to that which may apply to the development of political agreements at bodies such as UNFCCC. When the final amendments to MARPOL Annex VI are adopted, these should reflect the consensus vie</w:t>
      </w:r>
      <w:r w:rsidR="000B6B10">
        <w:t xml:space="preserve">w </w:t>
      </w:r>
      <w:r w:rsidR="008E1682">
        <w:t>of Member States</w:t>
      </w:r>
      <w:r w:rsidR="007A5114">
        <w:t xml:space="preserve"> as to what is necessary to </w:t>
      </w:r>
      <w:r w:rsidR="008E1682">
        <w:t>ensure delivery of the 2023 IMO GHG Strategy’s goals.</w:t>
      </w:r>
      <w:r w:rsidR="002D2C00">
        <w:t xml:space="preserve"> </w:t>
      </w:r>
      <w:r w:rsidR="002D2C00" w:rsidRPr="001D5F68">
        <w:t>T</w:t>
      </w:r>
      <w:r w:rsidR="00122E44" w:rsidRPr="001D5F68">
        <w:t xml:space="preserve">his </w:t>
      </w:r>
      <w:r w:rsidR="00FB3517" w:rsidRPr="001D5F68">
        <w:t xml:space="preserve">document therefore sets out </w:t>
      </w:r>
      <w:r w:rsidR="0022016F" w:rsidRPr="001D5F68">
        <w:t>some key issues which</w:t>
      </w:r>
      <w:r w:rsidR="009D3DC5" w:rsidRPr="00692FA1">
        <w:t xml:space="preserve"> </w:t>
      </w:r>
      <w:r w:rsidR="0022016F" w:rsidRPr="001D5F68">
        <w:t xml:space="preserve">need to be given </w:t>
      </w:r>
      <w:r w:rsidR="00DC7514" w:rsidRPr="001D5F68">
        <w:t xml:space="preserve">full consideration by the </w:t>
      </w:r>
      <w:r w:rsidR="00A5106A">
        <w:t xml:space="preserve">Working </w:t>
      </w:r>
      <w:r w:rsidR="00DC7514" w:rsidRPr="001D5F68">
        <w:t>Group</w:t>
      </w:r>
      <w:r w:rsidR="002D2C00" w:rsidRPr="001D5F68">
        <w:t xml:space="preserve"> </w:t>
      </w:r>
      <w:r w:rsidR="00DE4446" w:rsidRPr="00692FA1">
        <w:t xml:space="preserve">and the Committee </w:t>
      </w:r>
      <w:r w:rsidR="002D2C00" w:rsidRPr="001D5F68">
        <w:t xml:space="preserve">before </w:t>
      </w:r>
      <w:r w:rsidR="00F7529A" w:rsidRPr="00692FA1">
        <w:t xml:space="preserve">they </w:t>
      </w:r>
      <w:r w:rsidR="002D2C00" w:rsidRPr="001D5F68">
        <w:t xml:space="preserve">consider development </w:t>
      </w:r>
      <w:r w:rsidR="00501558" w:rsidRPr="001D5F68">
        <w:t xml:space="preserve">of </w:t>
      </w:r>
      <w:r w:rsidR="002D2C00" w:rsidRPr="001D5F68">
        <w:t>regulatory text</w:t>
      </w:r>
      <w:r w:rsidR="002C4A77" w:rsidRPr="00692FA1">
        <w:t>,</w:t>
      </w:r>
      <w:r w:rsidR="00296AFB" w:rsidRPr="001D5F68">
        <w:t xml:space="preserve"> including any </w:t>
      </w:r>
      <w:r w:rsidR="00B0688C">
        <w:t>potential</w:t>
      </w:r>
      <w:r w:rsidR="00296AFB" w:rsidRPr="001D5F68">
        <w:t xml:space="preserve"> </w:t>
      </w:r>
      <w:r w:rsidR="005E5697" w:rsidRPr="001D5F68">
        <w:t>‘</w:t>
      </w:r>
      <w:r w:rsidR="00296AFB" w:rsidRPr="001D5F68">
        <w:t>base tex</w:t>
      </w:r>
      <w:r w:rsidR="00B0688C">
        <w:t>t’</w:t>
      </w:r>
      <w:r w:rsidR="005E5697" w:rsidRPr="001D5F68">
        <w:t>.</w:t>
      </w:r>
    </w:p>
    <w:p w14:paraId="3AA7F5BF" w14:textId="77777777" w:rsidR="008E1682" w:rsidRPr="001D5F68" w:rsidRDefault="008E1682" w:rsidP="008E1682">
      <w:pPr>
        <w:tabs>
          <w:tab w:val="clear" w:pos="851"/>
        </w:tabs>
      </w:pPr>
    </w:p>
    <w:p w14:paraId="6567075C" w14:textId="5BD76037" w:rsidR="006F04E8" w:rsidRDefault="00DC5AAA" w:rsidP="008E1682">
      <w:pPr>
        <w:tabs>
          <w:tab w:val="clear" w:pos="851"/>
        </w:tabs>
      </w:pPr>
      <w:r>
        <w:t>8</w:t>
      </w:r>
      <w:r w:rsidR="008E1682">
        <w:tab/>
      </w:r>
      <w:r w:rsidR="00870C4F">
        <w:t>T</w:t>
      </w:r>
      <w:r w:rsidR="008E1682">
        <w:t xml:space="preserve">he co-sponsors reiterate the vital importance of including, within the IMO Net Zero Framework, a </w:t>
      </w:r>
      <w:r w:rsidR="00FC10A0">
        <w:t xml:space="preserve">distinct </w:t>
      </w:r>
      <w:r w:rsidR="008E1682" w:rsidRPr="00692FA1">
        <w:rPr>
          <w:u w:val="single"/>
        </w:rPr>
        <w:t>flat rate contribution mechanism</w:t>
      </w:r>
      <w:r w:rsidR="008E1682">
        <w:t xml:space="preserve"> per tonne of CO</w:t>
      </w:r>
      <w:r w:rsidR="008E1682" w:rsidRPr="00122CF3">
        <w:rPr>
          <w:vertAlign w:val="subscript"/>
        </w:rPr>
        <w:t>2</w:t>
      </w:r>
      <w:r w:rsidR="008E1682">
        <w:t>e emitted, with a feebate (reward) element, to reduce the cost gap with conventional fuels and incentivize a rapid acceleration in the production and uptake of zero/near-zero GHG fuels, energy sources and</w:t>
      </w:r>
      <w:r w:rsidR="00FA646F">
        <w:t xml:space="preserve"> innovative </w:t>
      </w:r>
      <w:r w:rsidR="008E1682">
        <w:t>technologies</w:t>
      </w:r>
      <w:r w:rsidR="00F876F7">
        <w:t>,</w:t>
      </w:r>
      <w:r w:rsidR="00390894">
        <w:t xml:space="preserve"> </w:t>
      </w:r>
      <w:r w:rsidR="00B95329">
        <w:t>includ</w:t>
      </w:r>
      <w:r w:rsidR="00F876F7">
        <w:t>ing</w:t>
      </w:r>
      <w:r w:rsidR="00B95329">
        <w:t xml:space="preserve"> on-board carbon</w:t>
      </w:r>
      <w:r w:rsidR="00F876F7">
        <w:t xml:space="preserve"> capture </w:t>
      </w:r>
      <w:r w:rsidR="00390894">
        <w:t>(which will reduce the quantity of zero/near-zero GHG marine fuels required)</w:t>
      </w:r>
      <w:r w:rsidR="008E1682">
        <w:t>. In addition, as a by-product of the mechanism to reduce the cost gap, substantial revenue (for example, up to US$2</w:t>
      </w:r>
      <w:r w:rsidR="00684F47">
        <w:t>.5</w:t>
      </w:r>
      <w:r w:rsidR="008E1682">
        <w:t xml:space="preserve"> billion per year during the first 5 years of implementation) should be allocated to a Fund established by IMO to support</w:t>
      </w:r>
      <w:r w:rsidR="00907E8A">
        <w:t>,</w:t>
      </w:r>
      <w:r w:rsidR="008E1682">
        <w:t xml:space="preserve"> </w:t>
      </w:r>
      <w:r w:rsidR="00907E8A">
        <w:t xml:space="preserve">inter alia, </w:t>
      </w:r>
      <w:r w:rsidR="008E1682">
        <w:t xml:space="preserve">maritime GHG reduction efforts by developing countries, in particular SIDS and LDCs, so that the goals of the 2023 IMO GHG Strategy can remain achievable. </w:t>
      </w:r>
    </w:p>
    <w:p w14:paraId="0CE0791B" w14:textId="77777777" w:rsidR="006F04E8" w:rsidRDefault="006F04E8" w:rsidP="008E1682">
      <w:pPr>
        <w:tabs>
          <w:tab w:val="clear" w:pos="851"/>
        </w:tabs>
      </w:pPr>
    </w:p>
    <w:p w14:paraId="588B6EC3" w14:textId="0AC793A1" w:rsidR="008E1682" w:rsidRDefault="00DC5AAA" w:rsidP="008E1682">
      <w:pPr>
        <w:tabs>
          <w:tab w:val="clear" w:pos="851"/>
        </w:tabs>
      </w:pPr>
      <w:r>
        <w:t>9</w:t>
      </w:r>
      <w:r w:rsidR="00772CEA">
        <w:tab/>
      </w:r>
      <w:r w:rsidR="008E1682">
        <w:t>Unless these critical elements are included in the regulations adopted, the transition to net zero, by or close to 2050, will be unlikely to succeed. In addition to the implications for the achievement of United Nations climate change goals, this will also lead to a proliferation of piecemeal, unilateral GHG charges being applied to shipping worldwide</w:t>
      </w:r>
      <w:r w:rsidR="00900DB2">
        <w:t xml:space="preserve"> – </w:t>
      </w:r>
      <w:r w:rsidR="00D323B0">
        <w:t>regionally and/or nationally</w:t>
      </w:r>
      <w:r w:rsidR="00F51C16">
        <w:t xml:space="preserve"> – </w:t>
      </w:r>
      <w:r w:rsidR="008E1682">
        <w:t>with regulatory chaos, economic inefficiency</w:t>
      </w:r>
      <w:r w:rsidR="0024019A">
        <w:t xml:space="preserve">, the risk of </w:t>
      </w:r>
      <w:r w:rsidR="00CD0672">
        <w:t xml:space="preserve">supply shocks and </w:t>
      </w:r>
      <w:r w:rsidR="0024019A">
        <w:t>disruption to seaborne trade</w:t>
      </w:r>
      <w:r w:rsidR="001F7247">
        <w:t>,</w:t>
      </w:r>
      <w:r w:rsidR="008E1682">
        <w:t xml:space="preserve"> and damage to IMO’s authority as shipping’s global regulator.</w:t>
      </w:r>
    </w:p>
    <w:p w14:paraId="54542F8E" w14:textId="77777777" w:rsidR="008E1682" w:rsidRDefault="008E1682" w:rsidP="008E1682">
      <w:pPr>
        <w:tabs>
          <w:tab w:val="clear" w:pos="851"/>
        </w:tabs>
      </w:pPr>
    </w:p>
    <w:p w14:paraId="78250887" w14:textId="5FBF98C2" w:rsidR="008E1682" w:rsidRPr="008E1682" w:rsidRDefault="008E1682" w:rsidP="008E1682">
      <w:pPr>
        <w:tabs>
          <w:tab w:val="clear" w:pos="851"/>
        </w:tabs>
        <w:rPr>
          <w:b/>
          <w:bCs/>
        </w:rPr>
      </w:pPr>
      <w:r w:rsidRPr="008E1682">
        <w:rPr>
          <w:b/>
          <w:bCs/>
        </w:rPr>
        <w:t>KEY ISSUES FOR CONSIDERATION BY THE GROUP</w:t>
      </w:r>
    </w:p>
    <w:p w14:paraId="3FC50D24" w14:textId="77777777" w:rsidR="008E1682" w:rsidRDefault="008E1682" w:rsidP="008E1682">
      <w:pPr>
        <w:tabs>
          <w:tab w:val="clear" w:pos="851"/>
        </w:tabs>
      </w:pPr>
    </w:p>
    <w:p w14:paraId="0595FFB7" w14:textId="77777777" w:rsidR="008E1682" w:rsidRPr="008E1682" w:rsidRDefault="008E1682" w:rsidP="008E1682">
      <w:pPr>
        <w:tabs>
          <w:tab w:val="clear" w:pos="851"/>
        </w:tabs>
        <w:rPr>
          <w:b/>
          <w:bCs/>
        </w:rPr>
      </w:pPr>
      <w:r w:rsidRPr="008E1682">
        <w:rPr>
          <w:b/>
          <w:bCs/>
        </w:rPr>
        <w:t xml:space="preserve">Vital importance of a flat rate contribution by ships per tonne of GHG emitted, with a feebate (reward) element for use of eligible zero/near-zero GHG fuels  </w:t>
      </w:r>
    </w:p>
    <w:p w14:paraId="667FB697" w14:textId="65EC03B3" w:rsidR="008E1682" w:rsidRDefault="008E1682" w:rsidP="008E1682">
      <w:pPr>
        <w:tabs>
          <w:tab w:val="clear" w:pos="851"/>
        </w:tabs>
      </w:pPr>
    </w:p>
    <w:p w14:paraId="4C8CB804" w14:textId="4B6510B6" w:rsidR="008E1682" w:rsidRDefault="00DC5AAA" w:rsidP="008E1682">
      <w:pPr>
        <w:tabs>
          <w:tab w:val="clear" w:pos="851"/>
        </w:tabs>
      </w:pPr>
      <w:r>
        <w:t>10</w:t>
      </w:r>
      <w:r w:rsidR="008E1682">
        <w:tab/>
        <w:t xml:space="preserve">The draft regulations set out in annex 1 of this document establish a maritime GHG emissions pricing mechanism, as required by the IMO 2023 GHG Strategy, which, in the view of the co-sponsors, means a </w:t>
      </w:r>
      <w:r w:rsidR="0024019A" w:rsidRPr="00692FA1">
        <w:rPr>
          <w:u w:val="single"/>
        </w:rPr>
        <w:t>distinct</w:t>
      </w:r>
      <w:r w:rsidR="008E1682">
        <w:t xml:space="preserve"> mechanism in addition to the fuel standard, whereby all ships (above the agreed tonnage threshold) should contribute GHG fees equally on the basis of their actual GHG emissions, consistent with fair competition and the “polluter pays” principle. </w:t>
      </w:r>
    </w:p>
    <w:p w14:paraId="4D7C4047" w14:textId="77777777" w:rsidR="008E1682" w:rsidRDefault="008E1682" w:rsidP="008E1682">
      <w:pPr>
        <w:tabs>
          <w:tab w:val="clear" w:pos="851"/>
        </w:tabs>
      </w:pPr>
    </w:p>
    <w:p w14:paraId="32BAC0EE" w14:textId="125DA5B8" w:rsidR="008E1682" w:rsidRDefault="00772CEA" w:rsidP="008E1682">
      <w:pPr>
        <w:tabs>
          <w:tab w:val="clear" w:pos="851"/>
        </w:tabs>
      </w:pPr>
      <w:r>
        <w:t>1</w:t>
      </w:r>
      <w:r w:rsidR="00DC5AAA">
        <w:t>1</w:t>
      </w:r>
      <w:r w:rsidR="008E1682">
        <w:tab/>
        <w:t>A flat rate GHG fee (contribution) per tonne of CO</w:t>
      </w:r>
      <w:r w:rsidR="008E1682" w:rsidRPr="001E3790">
        <w:rPr>
          <w:vertAlign w:val="subscript"/>
        </w:rPr>
        <w:t>2</w:t>
      </w:r>
      <w:r w:rsidR="008E1682">
        <w:t>e emitted, working in combination with a feebate element to provide rewards to ships for the CO</w:t>
      </w:r>
      <w:r w:rsidR="008E1682" w:rsidRPr="001E3790">
        <w:rPr>
          <w:vertAlign w:val="subscript"/>
        </w:rPr>
        <w:t>2</w:t>
      </w:r>
      <w:r w:rsidR="008E1682">
        <w:t xml:space="preserve">e emissions prevented by use of zero and near-zero GHG fuels, energy sources and technologies (including </w:t>
      </w:r>
      <w:r w:rsidR="001F7247">
        <w:t>on</w:t>
      </w:r>
      <w:r w:rsidR="00344BA6">
        <w:t xml:space="preserve">-board </w:t>
      </w:r>
      <w:r w:rsidR="008E1682">
        <w:t xml:space="preserve">carbon capture), is </w:t>
      </w:r>
      <w:r w:rsidR="00526A7F">
        <w:t>vital</w:t>
      </w:r>
      <w:r w:rsidR="008E1682">
        <w:t xml:space="preserve"> for the 2023 IMO GHG Strategy to succeed. </w:t>
      </w:r>
      <w:r w:rsidR="00526A7F">
        <w:t>T</w:t>
      </w:r>
      <w:r w:rsidR="008E1682">
        <w:t>his is to reduce the cost gap with conventional fuels</w:t>
      </w:r>
      <w:r w:rsidR="00331BDC">
        <w:t xml:space="preserve"> </w:t>
      </w:r>
      <w:r w:rsidR="008E1682">
        <w:t xml:space="preserve">and incentivize the accelerated production and uptake of zero/near-zero GHG fuels. As a by-product of being established to reduce the cost gap, the “mechanism” can also generate billions of US dollars of funding </w:t>
      </w:r>
      <w:r w:rsidR="007479E9">
        <w:t xml:space="preserve">for allocation </w:t>
      </w:r>
      <w:r w:rsidR="008E1682">
        <w:t xml:space="preserve">to what the co-sponsors now call the “IMO Net Zero Shipping Fund” </w:t>
      </w:r>
      <w:r w:rsidR="003E2A48">
        <w:t>(</w:t>
      </w:r>
      <w:r w:rsidR="008E1682">
        <w:t>see below</w:t>
      </w:r>
      <w:r w:rsidR="003E2A48">
        <w:t>)</w:t>
      </w:r>
      <w:r w:rsidR="008E1682">
        <w:t xml:space="preserve"> to support</w:t>
      </w:r>
      <w:r w:rsidR="005A3E76">
        <w:t xml:space="preserve">, </w:t>
      </w:r>
      <w:r w:rsidR="00344BA6">
        <w:t>inter alia</w:t>
      </w:r>
      <w:r w:rsidR="005A3E76">
        <w:t xml:space="preserve">, </w:t>
      </w:r>
      <w:r w:rsidR="008E1682">
        <w:t xml:space="preserve">maritime GHG reduction efforts of developing countries, in particular LDCs and SIDS, ensuring an equitable transition to net zero </w:t>
      </w:r>
      <w:r w:rsidR="00794134">
        <w:t xml:space="preserve">shipping </w:t>
      </w:r>
      <w:r w:rsidR="008E1682">
        <w:t>that will be truly global.</w:t>
      </w:r>
    </w:p>
    <w:p w14:paraId="41883BD5" w14:textId="77777777" w:rsidR="008E1682" w:rsidRDefault="008E1682" w:rsidP="008E1682">
      <w:pPr>
        <w:tabs>
          <w:tab w:val="clear" w:pos="851"/>
        </w:tabs>
      </w:pPr>
    </w:p>
    <w:p w14:paraId="226C3E43" w14:textId="1F4C9030" w:rsidR="008E1682" w:rsidRDefault="00A0352A" w:rsidP="008E1682">
      <w:pPr>
        <w:tabs>
          <w:tab w:val="clear" w:pos="851"/>
        </w:tabs>
      </w:pPr>
      <w:r>
        <w:t>1</w:t>
      </w:r>
      <w:r w:rsidR="00331BDC">
        <w:t>2</w:t>
      </w:r>
      <w:r w:rsidR="008E1682">
        <w:tab/>
        <w:t xml:space="preserve">In addition to supporting efforts to achieve the goals of the 2023 IMO GHG Strategy, the principal advantages of an integrated IMO Net Zero Framework which incorporates a </w:t>
      </w:r>
      <w:r w:rsidR="008E1682">
        <w:lastRenderedPageBreak/>
        <w:t>maritime GHG emissions pricing mechanism with a feebate (reward) element, as set out in the annexes to this document, are that:</w:t>
      </w:r>
    </w:p>
    <w:p w14:paraId="2D9D48B0" w14:textId="77777777" w:rsidR="008E1682" w:rsidRDefault="008E1682" w:rsidP="008E1682">
      <w:pPr>
        <w:tabs>
          <w:tab w:val="clear" w:pos="851"/>
        </w:tabs>
      </w:pPr>
    </w:p>
    <w:p w14:paraId="05FA5232" w14:textId="77777777" w:rsidR="008E1682" w:rsidRDefault="008E1682" w:rsidP="008E1682">
      <w:pPr>
        <w:tabs>
          <w:tab w:val="clear" w:pos="851"/>
        </w:tabs>
        <w:ind w:left="1701" w:hanging="850"/>
      </w:pPr>
      <w:r>
        <w:t xml:space="preserve">.1 </w:t>
      </w:r>
      <w:r>
        <w:tab/>
        <w:t xml:space="preserve">the reward element will multiply the effect of the contribution quantum on reducing the cost gap, allowing the contribution quantum (which the co-sponsors now call the “GHG fee”) to be set at a level which will ensure that disproportionately negative impacts on States will be avoided; </w:t>
      </w:r>
    </w:p>
    <w:p w14:paraId="6F2FFBDD" w14:textId="77777777" w:rsidR="008E1682" w:rsidRDefault="008E1682" w:rsidP="008E1682">
      <w:pPr>
        <w:tabs>
          <w:tab w:val="clear" w:pos="851"/>
        </w:tabs>
        <w:ind w:left="1701" w:hanging="850"/>
      </w:pPr>
    </w:p>
    <w:p w14:paraId="4D787263" w14:textId="707AB1FC" w:rsidR="008E1682" w:rsidRDefault="008E1682" w:rsidP="008E1682">
      <w:pPr>
        <w:tabs>
          <w:tab w:val="clear" w:pos="851"/>
        </w:tabs>
        <w:ind w:left="1701" w:hanging="850"/>
      </w:pPr>
      <w:r>
        <w:t xml:space="preserve">.2 </w:t>
      </w:r>
      <w:r>
        <w:tab/>
        <w:t>the mechanism will create minimal additional administrative burden for Administrations as it uses information already reported using the IMO Fuel Oil Data Collection System (DCS), to be submitted directly by shipping companies on behalf of the ship – to which the regulation will apply – via a fully automated contribution and reward system</w:t>
      </w:r>
      <w:r w:rsidR="005E3E2D">
        <w:t>:</w:t>
      </w:r>
      <w:r>
        <w:t xml:space="preserve"> see working web-based prototype in document ISWG-GHG 16/2/1 (ICS) - </w:t>
      </w:r>
      <w:hyperlink r:id="rId9" w:history="1">
        <w:r w:rsidRPr="001E3790">
          <w:rPr>
            <w:rStyle w:val="Hyperlink"/>
          </w:rPr>
          <w:t>Combined sets - ZESF Prototype 2024 (figma.com)</w:t>
        </w:r>
      </w:hyperlink>
      <w:r>
        <w:t xml:space="preserve">; and </w:t>
      </w:r>
    </w:p>
    <w:p w14:paraId="20C91649" w14:textId="77777777" w:rsidR="008E1682" w:rsidRDefault="008E1682" w:rsidP="008E1682">
      <w:pPr>
        <w:tabs>
          <w:tab w:val="clear" w:pos="851"/>
        </w:tabs>
        <w:ind w:left="1701" w:hanging="850"/>
      </w:pPr>
    </w:p>
    <w:p w14:paraId="5D68AB96" w14:textId="36645E02" w:rsidR="008E1682" w:rsidRDefault="008E1682" w:rsidP="008E1682">
      <w:pPr>
        <w:tabs>
          <w:tab w:val="clear" w:pos="851"/>
        </w:tabs>
        <w:ind w:left="1701" w:hanging="850"/>
      </w:pPr>
      <w:r>
        <w:t xml:space="preserve">.3 </w:t>
      </w:r>
      <w:r>
        <w:tab/>
        <w:t xml:space="preserve">the mechanism will provide certainty about the quantum (fixed for a minimum 5 year period) of the annual GHG fee to be made by ships via the </w:t>
      </w:r>
      <w:r w:rsidR="002A412F">
        <w:t>“</w:t>
      </w:r>
      <w:r>
        <w:t>mechanism</w:t>
      </w:r>
      <w:r w:rsidR="00D500BC">
        <w:t>”</w:t>
      </w:r>
      <w:r>
        <w:t xml:space="preserve"> and thus the economic impacts on States, plus certainty about the guaranteed amount of funds (up to US$2</w:t>
      </w:r>
      <w:r w:rsidR="0021311E">
        <w:t>.5</w:t>
      </w:r>
      <w:r>
        <w:t xml:space="preserve"> billion per year is suggested) that will </w:t>
      </w:r>
      <w:r w:rsidR="006F1E22">
        <w:t xml:space="preserve">initially </w:t>
      </w:r>
      <w:r>
        <w:t xml:space="preserve">be allocated for use by the IMO Net Zero Shipping Fund, and transferred to the Fund as soon as it is established. </w:t>
      </w:r>
    </w:p>
    <w:p w14:paraId="138B74C2" w14:textId="77777777" w:rsidR="008E1682" w:rsidRDefault="008E1682" w:rsidP="008E1682">
      <w:pPr>
        <w:tabs>
          <w:tab w:val="clear" w:pos="851"/>
        </w:tabs>
      </w:pPr>
    </w:p>
    <w:p w14:paraId="2BDF5E39" w14:textId="771722A5" w:rsidR="008E1682" w:rsidRDefault="008E1682" w:rsidP="008E1682">
      <w:pPr>
        <w:tabs>
          <w:tab w:val="clear" w:pos="851"/>
        </w:tabs>
      </w:pPr>
      <w:r>
        <w:t>1</w:t>
      </w:r>
      <w:r w:rsidR="00331BDC">
        <w:t>3</w:t>
      </w:r>
      <w:r>
        <w:tab/>
        <w:t xml:space="preserve">By narrowing the cost gap with conventional fuels, only a mandatory flat rate GHG fee (contribution), working in combination with a feebate (reward) mechanism, will meaningfully incentivize the production and uptake of zero/near-zero GHG fuels which is urgently needed to ensure achievement of the new level of ambition for 5% to 10% of the energy used by shipping to come from zero/near-zero </w:t>
      </w:r>
      <w:r w:rsidR="00D500BC">
        <w:t xml:space="preserve">GHG </w:t>
      </w:r>
      <w:r>
        <w:t xml:space="preserve">energy sources by 2030, on a pathway to net zero. This is because: </w:t>
      </w:r>
    </w:p>
    <w:p w14:paraId="332E87B3" w14:textId="77777777" w:rsidR="008E1682" w:rsidRDefault="008E1682" w:rsidP="008E1682">
      <w:pPr>
        <w:tabs>
          <w:tab w:val="clear" w:pos="851"/>
        </w:tabs>
      </w:pPr>
    </w:p>
    <w:p w14:paraId="1DA8F8F4" w14:textId="4D99048F" w:rsidR="008E1682" w:rsidRDefault="008E1682" w:rsidP="008E1682">
      <w:pPr>
        <w:tabs>
          <w:tab w:val="clear" w:pos="851"/>
        </w:tabs>
        <w:ind w:left="1701" w:hanging="850"/>
      </w:pPr>
      <w:r>
        <w:t>.1</w:t>
      </w:r>
      <w:r>
        <w:tab/>
        <w:t xml:space="preserve">A fuel standard on its own, even if incorporating economic elements (such as the trading of some kind of flexible compliance units between ships which under/over-comply with the fuel standard) will not be sufficient to incentivize the rapid acceleration in the production and uptake of zero/near-zero GHG fuels which will be vital for the transition to net zero </w:t>
      </w:r>
      <w:r w:rsidR="00344BA6">
        <w:t xml:space="preserve">to </w:t>
      </w:r>
      <w:r>
        <w:t>succeed</w:t>
      </w:r>
      <w:r w:rsidR="00331BAD">
        <w:t>; and</w:t>
      </w:r>
      <w:r>
        <w:t xml:space="preserve"> </w:t>
      </w:r>
    </w:p>
    <w:p w14:paraId="766368A0" w14:textId="77777777" w:rsidR="008E1682" w:rsidRDefault="008E1682" w:rsidP="008E1682">
      <w:pPr>
        <w:tabs>
          <w:tab w:val="clear" w:pos="851"/>
        </w:tabs>
        <w:ind w:left="1701" w:hanging="850"/>
      </w:pPr>
    </w:p>
    <w:p w14:paraId="652B1A3E" w14:textId="32777F37" w:rsidR="008E1682" w:rsidRDefault="008E1682" w:rsidP="008E1682">
      <w:pPr>
        <w:tabs>
          <w:tab w:val="clear" w:pos="851"/>
        </w:tabs>
        <w:ind w:left="1701" w:hanging="850"/>
      </w:pPr>
      <w:r>
        <w:t>.2</w:t>
      </w:r>
      <w:r>
        <w:tab/>
        <w:t xml:space="preserve">Significant investment in new technologies and fuels is only likely to occur if such investments are substantially </w:t>
      </w:r>
      <w:r w:rsidRPr="00530958">
        <w:rPr>
          <w:u w:val="single"/>
        </w:rPr>
        <w:t>de-risked</w:t>
      </w:r>
      <w:r>
        <w:t xml:space="preserve"> by a mechanism which </w:t>
      </w:r>
      <w:r w:rsidRPr="000330FD">
        <w:rPr>
          <w:u w:val="single"/>
        </w:rPr>
        <w:t>guarantees</w:t>
      </w:r>
      <w:r>
        <w:t xml:space="preserve"> the quantum of the reward for using far more expensive zero/near-zero GHG fuels for a minimum 5 year period, rather than being determined by the market so that the level of any economic incentive is variable, volatile and uncertain (as would be the case with respect to other more complicated proposals for economic elements which have been made with respect to a fuel standard). </w:t>
      </w:r>
    </w:p>
    <w:p w14:paraId="419AA9EB" w14:textId="77777777" w:rsidR="008E1682" w:rsidRDefault="008E1682" w:rsidP="008E1682">
      <w:pPr>
        <w:tabs>
          <w:tab w:val="clear" w:pos="851"/>
        </w:tabs>
      </w:pPr>
    </w:p>
    <w:p w14:paraId="65757DB3" w14:textId="017B3B5E" w:rsidR="008E1682" w:rsidRPr="008E1682" w:rsidRDefault="008E1682" w:rsidP="008E1682">
      <w:pPr>
        <w:tabs>
          <w:tab w:val="clear" w:pos="851"/>
        </w:tabs>
      </w:pPr>
      <w:r w:rsidRPr="008E1682">
        <w:rPr>
          <w:b/>
          <w:bCs/>
        </w:rPr>
        <w:t>The urgent need to achieve a “take-off” point by 2030</w:t>
      </w:r>
    </w:p>
    <w:p w14:paraId="67643A5B" w14:textId="77777777" w:rsidR="008E1682" w:rsidRDefault="008E1682" w:rsidP="008E1682">
      <w:pPr>
        <w:tabs>
          <w:tab w:val="clear" w:pos="851"/>
        </w:tabs>
      </w:pPr>
    </w:p>
    <w:p w14:paraId="0B1F9858" w14:textId="41260E5C" w:rsidR="008E1682" w:rsidRDefault="008E1682" w:rsidP="008E1682">
      <w:pPr>
        <w:tabs>
          <w:tab w:val="clear" w:pos="851"/>
        </w:tabs>
      </w:pPr>
      <w:r>
        <w:t>1</w:t>
      </w:r>
      <w:r w:rsidR="00331BDC">
        <w:t>4</w:t>
      </w:r>
      <w:r>
        <w:tab/>
        <w:t xml:space="preserve">A ʺtake-offʺ point means the point in time when the production and uptake of zero/near-zero GHG fuels, energy sources and technologies can be seen to rapidly accelerate beyond limited use by just a small number of ships. The 2023 IMO GHG Strategy sets out an important level of ambition ʺto increase uptake of zero or near-zero GHG emission technologies, fuels and/or energy sources to represent at least 5%, striving for 10%, of the energy used by international shipping by 2030ʺ.  The massive enormity of this challenge cannot </w:t>
      </w:r>
      <w:r>
        <w:lastRenderedPageBreak/>
        <w:t>be overestimated. Apart from limited supplies of the sustainable biofuel component of some biofuel blends, the current availability of zero/near-zero GHG marine fuels is virtually zero.</w:t>
      </w:r>
    </w:p>
    <w:p w14:paraId="56240EEE" w14:textId="77777777" w:rsidR="008E1682" w:rsidRDefault="008E1682" w:rsidP="008E1682">
      <w:pPr>
        <w:tabs>
          <w:tab w:val="clear" w:pos="851"/>
        </w:tabs>
      </w:pPr>
    </w:p>
    <w:p w14:paraId="405DABAF" w14:textId="6FFB5BDC" w:rsidR="008E1682" w:rsidRDefault="008E1682" w:rsidP="008E1682">
      <w:pPr>
        <w:tabs>
          <w:tab w:val="clear" w:pos="851"/>
        </w:tabs>
      </w:pPr>
      <w:r>
        <w:t>1</w:t>
      </w:r>
      <w:r w:rsidR="00491EF3">
        <w:t>5</w:t>
      </w:r>
      <w:r>
        <w:t xml:space="preserve"> </w:t>
      </w:r>
      <w:r>
        <w:tab/>
        <w:t xml:space="preserve">The 2030 level of ambition for 5% to 10% of energy used by international shipping to be generated from zero/near-zero </w:t>
      </w:r>
      <w:r w:rsidR="006036E5">
        <w:t xml:space="preserve">GHG </w:t>
      </w:r>
      <w:r>
        <w:t xml:space="preserve">fuels, energy sources and technologies, which is intended to deliver a ʺtake-offʺ point, is less than six years away, and is only likely to be achieved if a maritime GHG emissions pricing mechanism is adopted in 2025 which will meaningfully reduce the significant cost gap which currently exists between zero/near-zero GHG fuels and conventional fuels and which </w:t>
      </w:r>
      <w:r w:rsidR="0024019A">
        <w:t xml:space="preserve">contributes to </w:t>
      </w:r>
      <w:r>
        <w:t>de-risk</w:t>
      </w:r>
      <w:r w:rsidR="0024019A">
        <w:t>ing</w:t>
      </w:r>
      <w:r>
        <w:t xml:space="preserve"> those investment decisions that urgently need to be taken by energy producers and the shipping industry.</w:t>
      </w:r>
    </w:p>
    <w:p w14:paraId="64902FA4" w14:textId="77777777" w:rsidR="008E1682" w:rsidRDefault="008E1682" w:rsidP="008E1682">
      <w:pPr>
        <w:tabs>
          <w:tab w:val="clear" w:pos="851"/>
        </w:tabs>
      </w:pPr>
    </w:p>
    <w:p w14:paraId="0A8082F8" w14:textId="491171A8" w:rsidR="008E1682" w:rsidRDefault="008E1682" w:rsidP="008E1682">
      <w:pPr>
        <w:tabs>
          <w:tab w:val="clear" w:pos="851"/>
        </w:tabs>
      </w:pPr>
      <w:r>
        <w:t>1</w:t>
      </w:r>
      <w:r w:rsidR="00331BDC">
        <w:t>6</w:t>
      </w:r>
      <w:r>
        <w:t xml:space="preserve"> </w:t>
      </w:r>
      <w:r>
        <w:tab/>
        <w:t xml:space="preserve">The 2040 checkpoint of an </w:t>
      </w:r>
      <w:r w:rsidRPr="00B073D8">
        <w:t>absolute</w:t>
      </w:r>
      <w:r>
        <w:t xml:space="preserve"> reduction in the sector’s total GHG emissions of at least 70%, striving for 80%, compared to 2008, regardless of trade growth, is particularly challenging, and is only likely to be plausible if a ʺtake-offʺ point for the use of zero/near-zero GHG fuels, such as green ammonia and hydrogen, synthetic methanol and synthetic LNG – as well as GHG reduction technologies such as </w:t>
      </w:r>
      <w:r w:rsidR="00756D3F">
        <w:t xml:space="preserve">on-board </w:t>
      </w:r>
      <w:r>
        <w:t xml:space="preserve">carbon capture – can be achieved by 2030. </w:t>
      </w:r>
    </w:p>
    <w:p w14:paraId="7F2D1624" w14:textId="77777777" w:rsidR="008E1682" w:rsidRDefault="008E1682" w:rsidP="008E1682">
      <w:pPr>
        <w:tabs>
          <w:tab w:val="clear" w:pos="851"/>
        </w:tabs>
      </w:pPr>
    </w:p>
    <w:p w14:paraId="7FB7702A" w14:textId="3EB85A53" w:rsidR="008E1682" w:rsidRDefault="008E1682" w:rsidP="008E1682">
      <w:pPr>
        <w:tabs>
          <w:tab w:val="clear" w:pos="851"/>
        </w:tabs>
      </w:pPr>
      <w:r>
        <w:t>1</w:t>
      </w:r>
      <w:r w:rsidR="00331BDC">
        <w:t>7</w:t>
      </w:r>
      <w:r>
        <w:tab/>
        <w:t>A fuel standard on its own might possibly be sufficient to achieve the relatively modest reduction in the required GHG intensity (GFI) of marine fuels which the co-sponsors suggest should be agreed for 2030</w:t>
      </w:r>
      <w:r w:rsidR="002C0B30">
        <w:t xml:space="preserve"> (see below)</w:t>
      </w:r>
      <w:r>
        <w:t xml:space="preserve">. However, this would largely be achieved by use of biofuel blends and increased use of LNG. Without a </w:t>
      </w:r>
      <w:r w:rsidR="0024019A">
        <w:t>distinct</w:t>
      </w:r>
      <w:r>
        <w:t xml:space="preserve"> GHG pricing mechanism to reduce the cost gap, the “take off” point required by the IMO 2023 GHG Strategy, of 5-10% of the energy used by shipping to come from zero/near-zero GHG energy sources, is unlikely to be achieved by 2030.</w:t>
      </w:r>
      <w:r w:rsidR="00397BD5">
        <w:t xml:space="preserve"> </w:t>
      </w:r>
      <w:r>
        <w:t xml:space="preserve">This will make it virtually impossible for most ships to achieve the aggressive further reductions in Required GFI which will be needed in the 2030s if the 2040 and 2050 IMO GHG reduction goals are to remain achievable. A </w:t>
      </w:r>
      <w:r w:rsidR="0024019A" w:rsidRPr="00501E07">
        <w:rPr>
          <w:u w:val="single"/>
        </w:rPr>
        <w:t>distinct</w:t>
      </w:r>
      <w:r>
        <w:t xml:space="preserve"> maritime GHG emissions </w:t>
      </w:r>
      <w:r w:rsidR="004B1D63">
        <w:t xml:space="preserve">pricing </w:t>
      </w:r>
      <w:r>
        <w:t xml:space="preserve">mechanism, with a </w:t>
      </w:r>
      <w:r w:rsidRPr="00501E07">
        <w:rPr>
          <w:u w:val="single"/>
        </w:rPr>
        <w:t>feebate</w:t>
      </w:r>
      <w:r>
        <w:t xml:space="preserve"> element, therefore, needs to be established immediately to generate – with certainty – billions of US dollars of revenue to </w:t>
      </w:r>
      <w:r w:rsidR="001529D6">
        <w:t xml:space="preserve">help </w:t>
      </w:r>
      <w:r>
        <w:t>de-risk</w:t>
      </w:r>
      <w:r w:rsidR="001529D6">
        <w:t>ing of</w:t>
      </w:r>
      <w:r>
        <w:t xml:space="preserve"> investments by reducing the cost gap between zero/near-zero GHG fuels and conventional fuel oil. </w:t>
      </w:r>
    </w:p>
    <w:p w14:paraId="180E97E7" w14:textId="77777777" w:rsidR="008E1682" w:rsidRDefault="008E1682" w:rsidP="008E1682">
      <w:pPr>
        <w:tabs>
          <w:tab w:val="clear" w:pos="851"/>
        </w:tabs>
      </w:pPr>
    </w:p>
    <w:p w14:paraId="3B56FCA9" w14:textId="6FA13F84" w:rsidR="008E1682" w:rsidRPr="008E1682" w:rsidRDefault="008E1682" w:rsidP="008E1682">
      <w:pPr>
        <w:tabs>
          <w:tab w:val="clear" w:pos="851"/>
        </w:tabs>
        <w:rPr>
          <w:b/>
          <w:bCs/>
        </w:rPr>
      </w:pPr>
      <w:r w:rsidRPr="008E1682">
        <w:rPr>
          <w:b/>
          <w:bCs/>
        </w:rPr>
        <w:t xml:space="preserve">Vital importance of IMO Net Zero Shipping Fund to support maritime GHG reduction efforts by developing countries </w:t>
      </w:r>
    </w:p>
    <w:p w14:paraId="1327AD8C" w14:textId="77777777" w:rsidR="008E1682" w:rsidRDefault="008E1682" w:rsidP="008E1682">
      <w:pPr>
        <w:tabs>
          <w:tab w:val="clear" w:pos="851"/>
        </w:tabs>
      </w:pPr>
    </w:p>
    <w:p w14:paraId="743998A4" w14:textId="3B9622E8" w:rsidR="008E1682" w:rsidRDefault="008E1682" w:rsidP="008E1682">
      <w:pPr>
        <w:tabs>
          <w:tab w:val="clear" w:pos="851"/>
        </w:tabs>
      </w:pPr>
      <w:r>
        <w:t>1</w:t>
      </w:r>
      <w:r w:rsidR="00331BDC">
        <w:t>8</w:t>
      </w:r>
      <w:r>
        <w:t xml:space="preserve"> </w:t>
      </w:r>
      <w:r>
        <w:tab/>
        <w:t xml:space="preserve">Apart from the need to achieve a ʺtake-offʺ point, the medium and longer term transition to net zero will only succeed if it is equitable and truly global and, noting the very ambitious IMO 2040 goal for absolute GHG emissions reductions, a means needs to be found of ensuring, by 2040, that zero/near-zero GHG marine fuels are available in sufficient quantities in all ports worldwide, including developing countries, in particular LDCs and SIDS. </w:t>
      </w:r>
    </w:p>
    <w:p w14:paraId="60A1C20A" w14:textId="77777777" w:rsidR="008E1682" w:rsidRDefault="008E1682" w:rsidP="008E1682">
      <w:pPr>
        <w:tabs>
          <w:tab w:val="clear" w:pos="851"/>
        </w:tabs>
      </w:pPr>
    </w:p>
    <w:p w14:paraId="389DDA37" w14:textId="0A6AC4ED" w:rsidR="008E1682" w:rsidRDefault="008E1682" w:rsidP="008E1682">
      <w:pPr>
        <w:tabs>
          <w:tab w:val="clear" w:pos="851"/>
        </w:tabs>
      </w:pPr>
      <w:r>
        <w:t>1</w:t>
      </w:r>
      <w:r w:rsidR="00331BDC">
        <w:t>9</w:t>
      </w:r>
      <w:r>
        <w:tab/>
        <w:t xml:space="preserve">To make this possible and to help provide the billions of dollars needed to support investment in the generation of green marine fuels and bunkering infrastructure in developing countries’ ports, the establishment of what the co-sponsors now call the IMO Net Zero Shipping Fund will also be a vital part of the IMO Net Zero Framework – as set out in draft regulation 42 in annex 1 of this document. </w:t>
      </w:r>
    </w:p>
    <w:p w14:paraId="1AC94EFE" w14:textId="77777777" w:rsidR="008E1682" w:rsidRDefault="008E1682" w:rsidP="008E1682">
      <w:pPr>
        <w:tabs>
          <w:tab w:val="clear" w:pos="851"/>
        </w:tabs>
      </w:pPr>
    </w:p>
    <w:p w14:paraId="37E8260A" w14:textId="0925AF83" w:rsidR="008E1682" w:rsidRDefault="00491EF3" w:rsidP="008E1682">
      <w:pPr>
        <w:tabs>
          <w:tab w:val="clear" w:pos="851"/>
        </w:tabs>
      </w:pPr>
      <w:r>
        <w:t>20</w:t>
      </w:r>
      <w:r w:rsidR="008E1682">
        <w:tab/>
        <w:t xml:space="preserve">As proposed by the co-sponsors, draft regulation 39 – </w:t>
      </w:r>
      <w:r w:rsidR="008E1682" w:rsidRPr="00C345D6">
        <w:rPr>
          <w:i/>
          <w:iCs/>
        </w:rPr>
        <w:t>Purpose of the mechanism and disbursement of revenue</w:t>
      </w:r>
      <w:r w:rsidR="008E1682">
        <w:t xml:space="preserve"> requires that up to 20% of the revenue generated annually to incentivize the uptake of zero/near-zero GHG fuels via a feebate programme can (as a </w:t>
      </w:r>
      <w:r w:rsidR="008E1682" w:rsidRPr="00692FA1">
        <w:rPr>
          <w:u w:val="single"/>
        </w:rPr>
        <w:t>by-product</w:t>
      </w:r>
      <w:r w:rsidR="008E1682">
        <w:t xml:space="preserve"> of the GHG emissions pricing mechanism) be allocated to the IMO Net Zero Shipping Fund, provided that IMO’s obligations to fund the feebate programme have been met. Depending on the agreed quantum for the GHG fee and the revenue required for the feebate programme, the amount allocated to the Fund could be up to US$2</w:t>
      </w:r>
      <w:r w:rsidR="00EE6CFE">
        <w:t>.5</w:t>
      </w:r>
      <w:r w:rsidR="008E1682">
        <w:t xml:space="preserve"> billion per year, which </w:t>
      </w:r>
      <w:r w:rsidR="008E1682">
        <w:lastRenderedPageBreak/>
        <w:t xml:space="preserve">should be sufficient to achieve the Fund’s purposes </w:t>
      </w:r>
      <w:r w:rsidR="005A69D8">
        <w:t xml:space="preserve">as set out in proposed </w:t>
      </w:r>
      <w:r w:rsidR="00F502CB">
        <w:t xml:space="preserve">regulation </w:t>
      </w:r>
      <w:r w:rsidR="00CA057C">
        <w:t xml:space="preserve">39 </w:t>
      </w:r>
      <w:r w:rsidR="008E1682">
        <w:t>(see below). Unless the total feebates required to reward CO</w:t>
      </w:r>
      <w:r w:rsidR="008E1682" w:rsidRPr="00122CF3">
        <w:rPr>
          <w:vertAlign w:val="subscript"/>
        </w:rPr>
        <w:t>2</w:t>
      </w:r>
      <w:r w:rsidR="008E1682">
        <w:t>e emissions prevented by the uptake of zero/near GHG energy sources exceed, in any year, the upper end of the level of ambition for 5</w:t>
      </w:r>
      <w:r w:rsidR="00E713CB">
        <w:t>%</w:t>
      </w:r>
      <w:r w:rsidR="00F94DFA">
        <w:t xml:space="preserve"> to </w:t>
      </w:r>
      <w:r w:rsidR="008E1682">
        <w:t xml:space="preserve">10% of the energy used by shipping to come from zero/near-zero GHG energy sources by 2030, the proposed regulations are designed to guarantee that the annual revenue to be allocated to the Fund will be substantial – i.e. 20% of the total annual revenue generated </w:t>
      </w:r>
      <w:r w:rsidR="00EC1301">
        <w:t>to support</w:t>
      </w:r>
      <w:r w:rsidR="00FE35B8">
        <w:t xml:space="preserve"> the feebate programme </w:t>
      </w:r>
      <w:r w:rsidR="008E1682">
        <w:t xml:space="preserve">throughout the first 5 years of implementation.   </w:t>
      </w:r>
    </w:p>
    <w:p w14:paraId="60081736" w14:textId="77777777" w:rsidR="008E1682" w:rsidRDefault="008E1682" w:rsidP="008E1682">
      <w:pPr>
        <w:tabs>
          <w:tab w:val="clear" w:pos="851"/>
        </w:tabs>
      </w:pPr>
    </w:p>
    <w:p w14:paraId="316F5AB2" w14:textId="3C862F34" w:rsidR="008E1682" w:rsidRDefault="00772CEA" w:rsidP="008E1682">
      <w:pPr>
        <w:tabs>
          <w:tab w:val="clear" w:pos="851"/>
        </w:tabs>
      </w:pPr>
      <w:r>
        <w:t>2</w:t>
      </w:r>
      <w:r w:rsidR="00491EF3">
        <w:t>1</w:t>
      </w:r>
      <w:r w:rsidR="008E1682">
        <w:tab/>
      </w:r>
      <w:r w:rsidR="004A4B58">
        <w:t xml:space="preserve">In addition to setting out that the </w:t>
      </w:r>
      <w:r w:rsidR="00DC5423">
        <w:t xml:space="preserve">principal purpose of the </w:t>
      </w:r>
      <w:r w:rsidR="00072D06">
        <w:t>“</w:t>
      </w:r>
      <w:r w:rsidR="00DC5423">
        <w:t>mechanism</w:t>
      </w:r>
      <w:r w:rsidR="00072D06">
        <w:t>” will be to generate revenue to support the feebate programme,</w:t>
      </w:r>
      <w:r w:rsidR="00DC5423">
        <w:t xml:space="preserve"> </w:t>
      </w:r>
      <w:r w:rsidR="00E342FF">
        <w:t>d</w:t>
      </w:r>
      <w:r w:rsidR="008E1682">
        <w:t xml:space="preserve">raft regulation 39, in annex 1 of this document, </w:t>
      </w:r>
      <w:r w:rsidR="00FA229A">
        <w:t xml:space="preserve">also </w:t>
      </w:r>
      <w:r w:rsidR="008E1682">
        <w:t xml:space="preserve">sets out the principal purposes of the IMO Net Zero Shipping Fund as follows, which are limited to directly contributing to the decarbonization of international shipping or adaptation of the maritime sector to climate change: </w:t>
      </w:r>
    </w:p>
    <w:p w14:paraId="17F71D9B" w14:textId="77777777" w:rsidR="008E1682" w:rsidRDefault="008E1682" w:rsidP="008E1682">
      <w:pPr>
        <w:tabs>
          <w:tab w:val="clear" w:pos="851"/>
        </w:tabs>
      </w:pPr>
    </w:p>
    <w:p w14:paraId="7E378CF6" w14:textId="77777777" w:rsidR="008E1682" w:rsidRDefault="008E1682" w:rsidP="008E1682">
      <w:pPr>
        <w:tabs>
          <w:tab w:val="clear" w:pos="851"/>
        </w:tabs>
        <w:ind w:left="1701" w:hanging="850"/>
      </w:pPr>
      <w:r>
        <w:t>.1</w:t>
      </w:r>
      <w:r>
        <w:tab/>
        <w:t>capacity-building in developing countries, especially SIDS and LDCs, including deployment of zero or near-zero GHG maritime fuel production facilities and new bunkering infrastructure that may be required in ports to expedite transition;</w:t>
      </w:r>
    </w:p>
    <w:p w14:paraId="3427A869" w14:textId="77777777" w:rsidR="008E1682" w:rsidRDefault="008E1682" w:rsidP="008E1682">
      <w:pPr>
        <w:tabs>
          <w:tab w:val="clear" w:pos="851"/>
        </w:tabs>
        <w:ind w:left="1701" w:hanging="850"/>
      </w:pPr>
    </w:p>
    <w:p w14:paraId="45FD1149" w14:textId="5597D576" w:rsidR="008E1682" w:rsidRDefault="008E1682" w:rsidP="008E1682">
      <w:pPr>
        <w:tabs>
          <w:tab w:val="clear" w:pos="851"/>
        </w:tabs>
        <w:ind w:left="1701" w:hanging="850"/>
      </w:pPr>
      <w:r>
        <w:t>.2</w:t>
      </w:r>
      <w:r>
        <w:tab/>
        <w:t>funding, inter alia, for the IMO GHG-TC Trust Fund to support other maritime GHG reduction projects in developing countries, especially SIDS and LDCs;</w:t>
      </w:r>
    </w:p>
    <w:p w14:paraId="188D00F4" w14:textId="77777777" w:rsidR="008E1682" w:rsidRDefault="008E1682" w:rsidP="008E1682">
      <w:pPr>
        <w:tabs>
          <w:tab w:val="clear" w:pos="851"/>
        </w:tabs>
        <w:ind w:left="1701" w:hanging="850"/>
      </w:pPr>
    </w:p>
    <w:p w14:paraId="746A458A" w14:textId="77777777" w:rsidR="008E1682" w:rsidRDefault="008E1682" w:rsidP="008E1682">
      <w:pPr>
        <w:tabs>
          <w:tab w:val="clear" w:pos="851"/>
        </w:tabs>
        <w:ind w:left="1701" w:hanging="850"/>
      </w:pPr>
      <w:r>
        <w:t>.3</w:t>
      </w:r>
      <w:r>
        <w:tab/>
        <w:t>funding for applied research and development (R&amp;D) programmes of alternative fuels and innovative technologies; and</w:t>
      </w:r>
    </w:p>
    <w:p w14:paraId="2BFAA21D" w14:textId="77777777" w:rsidR="008E1682" w:rsidRDefault="008E1682" w:rsidP="008E1682">
      <w:pPr>
        <w:tabs>
          <w:tab w:val="clear" w:pos="851"/>
        </w:tabs>
        <w:ind w:left="1701" w:hanging="850"/>
      </w:pPr>
    </w:p>
    <w:p w14:paraId="492A0A6D" w14:textId="77777777" w:rsidR="008E1682" w:rsidRDefault="008E1682" w:rsidP="008E1682">
      <w:pPr>
        <w:tabs>
          <w:tab w:val="clear" w:pos="851"/>
        </w:tabs>
        <w:ind w:left="1701" w:hanging="850"/>
      </w:pPr>
      <w:r>
        <w:t>.4</w:t>
      </w:r>
      <w:r>
        <w:tab/>
        <w:t xml:space="preserve">funding for seafarer training in developing countries and promotion of a just transition. </w:t>
      </w:r>
    </w:p>
    <w:p w14:paraId="618AF277" w14:textId="77777777" w:rsidR="007277E0" w:rsidRDefault="007277E0" w:rsidP="008E1682">
      <w:pPr>
        <w:tabs>
          <w:tab w:val="clear" w:pos="851"/>
        </w:tabs>
        <w:ind w:left="1701" w:hanging="850"/>
      </w:pPr>
    </w:p>
    <w:p w14:paraId="4546A0C0" w14:textId="1A3E7641" w:rsidR="00AD31D0" w:rsidRPr="00BA42C6" w:rsidRDefault="00CB3C8C" w:rsidP="00AD31D0">
      <w:r>
        <w:t>2</w:t>
      </w:r>
      <w:r w:rsidR="00491EF3">
        <w:t>2</w:t>
      </w:r>
      <w:r w:rsidR="008E1682">
        <w:tab/>
      </w:r>
      <w:r w:rsidR="00B4084C">
        <w:t>A</w:t>
      </w:r>
      <w:r w:rsidR="008E1682">
        <w:t>s the Fund can only provide support to projects and programmes once revenue has been generated as a by-product of the maritime GHG emissions pricing mechanism, the co-sponsors suggest that the immediate priority should be to establish the “mechanism” for calculating and collecting GHG fees from ships. The details concerning the governance and management of the Fund can then be addressed</w:t>
      </w:r>
      <w:r w:rsidR="004016B0">
        <w:t xml:space="preserve"> through </w:t>
      </w:r>
      <w:r w:rsidR="007252C6">
        <w:t xml:space="preserve">“terms of reference” </w:t>
      </w:r>
      <w:r w:rsidR="008E1682">
        <w:t>with adequate time for due consideration after the IMO Net Zero Framework is adopted in 2025</w:t>
      </w:r>
      <w:r w:rsidR="00561E4C">
        <w:t xml:space="preserve"> </w:t>
      </w:r>
      <w:r w:rsidR="008E1682">
        <w:t xml:space="preserve">but before 2028 when revenue generated by the </w:t>
      </w:r>
      <w:r w:rsidR="007252C6">
        <w:t>“</w:t>
      </w:r>
      <w:r w:rsidR="008E1682">
        <w:t>mechanism</w:t>
      </w:r>
      <w:r w:rsidR="007252C6">
        <w:t>”</w:t>
      </w:r>
      <w:r w:rsidR="008E1682">
        <w:t xml:space="preserve"> will start to be allocated to the Fund (assuming entry into force in 2027).</w:t>
      </w:r>
      <w:r w:rsidR="00F054BA">
        <w:t xml:space="preserve"> Proposed regulation 42</w:t>
      </w:r>
      <w:r w:rsidR="002505B1">
        <w:t xml:space="preserve">, as </w:t>
      </w:r>
      <w:r w:rsidR="00B576FC">
        <w:t>set out in Annex 1 of this document</w:t>
      </w:r>
      <w:r w:rsidR="00742AB1">
        <w:t>,</w:t>
      </w:r>
      <w:r w:rsidR="00B576FC">
        <w:t xml:space="preserve"> require</w:t>
      </w:r>
      <w:r w:rsidR="00742AB1">
        <w:t>s</w:t>
      </w:r>
      <w:r w:rsidR="00B576FC">
        <w:t xml:space="preserve"> that </w:t>
      </w:r>
      <w:r w:rsidR="00B576FC">
        <w:rPr>
          <w:rFonts w:cs="Arial"/>
          <w:color w:val="000000" w:themeColor="text1"/>
          <w:szCs w:val="22"/>
        </w:rPr>
        <w:t>w</w:t>
      </w:r>
      <w:r w:rsidR="00AD31D0" w:rsidRPr="00E3618B">
        <w:rPr>
          <w:rFonts w:cs="Arial"/>
          <w:color w:val="000000" w:themeColor="text1"/>
          <w:szCs w:val="22"/>
        </w:rPr>
        <w:t>ithin 12 months of entry into forc</w:t>
      </w:r>
      <w:r w:rsidR="00211BE9">
        <w:rPr>
          <w:rFonts w:cs="Arial"/>
          <w:color w:val="000000" w:themeColor="text1"/>
          <w:szCs w:val="22"/>
        </w:rPr>
        <w:t>e</w:t>
      </w:r>
      <w:r w:rsidR="00AD31D0" w:rsidRPr="00E3618B">
        <w:rPr>
          <w:rFonts w:cs="Arial"/>
          <w:color w:val="000000" w:themeColor="text1"/>
          <w:szCs w:val="22"/>
        </w:rPr>
        <w:t xml:space="preserve"> </w:t>
      </w:r>
      <w:r w:rsidR="005B14F1">
        <w:rPr>
          <w:rFonts w:cs="Arial"/>
          <w:color w:val="000000" w:themeColor="text1"/>
          <w:szCs w:val="22"/>
        </w:rPr>
        <w:t>“</w:t>
      </w:r>
      <w:r w:rsidR="00AD31D0" w:rsidRPr="00E3618B">
        <w:rPr>
          <w:rFonts w:cs="Arial"/>
          <w:color w:val="000000" w:themeColor="text1"/>
          <w:szCs w:val="22"/>
        </w:rPr>
        <w:t xml:space="preserve">the Organization shall establish an IMO Net Zero Shipping Fund </w:t>
      </w:r>
      <w:r w:rsidR="00211BE9">
        <w:rPr>
          <w:rFonts w:cs="Arial"/>
          <w:color w:val="000000" w:themeColor="text1"/>
          <w:szCs w:val="22"/>
        </w:rPr>
        <w:t xml:space="preserve">… </w:t>
      </w:r>
      <w:r w:rsidR="00AD31D0" w:rsidRPr="00E3618B">
        <w:rPr>
          <w:rFonts w:cs="Arial"/>
          <w:color w:val="000000" w:themeColor="text1"/>
          <w:szCs w:val="22"/>
        </w:rPr>
        <w:t xml:space="preserve">to support the projects and programmes </w:t>
      </w:r>
      <w:r w:rsidR="00211BE9">
        <w:rPr>
          <w:rFonts w:cs="Arial"/>
          <w:color w:val="000000" w:themeColor="text1"/>
          <w:szCs w:val="22"/>
        </w:rPr>
        <w:t>[</w:t>
      </w:r>
      <w:r w:rsidR="00EB7180">
        <w:rPr>
          <w:rFonts w:cs="Arial"/>
          <w:color w:val="000000" w:themeColor="text1"/>
          <w:szCs w:val="22"/>
        </w:rPr>
        <w:t xml:space="preserve">that meet the principal </w:t>
      </w:r>
      <w:r w:rsidR="00D75CCE">
        <w:rPr>
          <w:rFonts w:cs="Arial"/>
          <w:color w:val="000000" w:themeColor="text1"/>
          <w:szCs w:val="22"/>
        </w:rPr>
        <w:t xml:space="preserve">purposes of the </w:t>
      </w:r>
      <w:r w:rsidR="005006DC">
        <w:rPr>
          <w:rFonts w:cs="Arial"/>
          <w:color w:val="000000" w:themeColor="text1"/>
          <w:szCs w:val="22"/>
        </w:rPr>
        <w:t>F</w:t>
      </w:r>
      <w:r w:rsidR="00D75CCE">
        <w:rPr>
          <w:rFonts w:cs="Arial"/>
          <w:color w:val="000000" w:themeColor="text1"/>
          <w:szCs w:val="22"/>
        </w:rPr>
        <w:t>und</w:t>
      </w:r>
      <w:r w:rsidR="005006DC">
        <w:rPr>
          <w:rFonts w:cs="Arial"/>
          <w:color w:val="000000" w:themeColor="text1"/>
          <w:szCs w:val="22"/>
        </w:rPr>
        <w:t xml:space="preserve"> set out in the regulations </w:t>
      </w:r>
      <w:r w:rsidR="00052DB6">
        <w:rPr>
          <w:rFonts w:cs="Arial"/>
          <w:color w:val="000000" w:themeColor="text1"/>
          <w:szCs w:val="22"/>
        </w:rPr>
        <w:t>(</w:t>
      </w:r>
      <w:r w:rsidR="005006DC">
        <w:rPr>
          <w:rFonts w:cs="Arial"/>
          <w:color w:val="000000" w:themeColor="text1"/>
          <w:szCs w:val="22"/>
        </w:rPr>
        <w:t>see above</w:t>
      </w:r>
      <w:r w:rsidR="00052DB6">
        <w:rPr>
          <w:rFonts w:cs="Arial"/>
          <w:color w:val="000000" w:themeColor="text1"/>
          <w:szCs w:val="22"/>
        </w:rPr>
        <w:t>)</w:t>
      </w:r>
      <w:r w:rsidR="00B4084C">
        <w:rPr>
          <w:rFonts w:cs="Arial"/>
          <w:color w:val="000000" w:themeColor="text1"/>
          <w:szCs w:val="22"/>
        </w:rPr>
        <w:t>]</w:t>
      </w:r>
      <w:r w:rsidR="00D75CCE">
        <w:rPr>
          <w:rFonts w:cs="Arial"/>
          <w:color w:val="000000" w:themeColor="text1"/>
          <w:szCs w:val="22"/>
        </w:rPr>
        <w:t xml:space="preserve"> “</w:t>
      </w:r>
      <w:r w:rsidR="00AD31D0" w:rsidRPr="00E3618B">
        <w:rPr>
          <w:rFonts w:cs="Arial"/>
          <w:color w:val="000000" w:themeColor="text1"/>
          <w:szCs w:val="22"/>
        </w:rPr>
        <w:t>as may be decided by a supervisory committee comprising representatives of Parties to this chapter, balanced in terms of geographical representation</w:t>
      </w:r>
      <w:r w:rsidR="00D75CCE">
        <w:rPr>
          <w:rFonts w:cs="Arial"/>
          <w:color w:val="000000" w:themeColor="text1"/>
          <w:szCs w:val="22"/>
        </w:rPr>
        <w:t>”</w:t>
      </w:r>
      <w:r w:rsidR="00AD31D0" w:rsidRPr="00E3618B">
        <w:rPr>
          <w:rFonts w:cs="Arial"/>
          <w:color w:val="000000" w:themeColor="text1"/>
          <w:szCs w:val="22"/>
        </w:rPr>
        <w:t>.</w:t>
      </w:r>
    </w:p>
    <w:p w14:paraId="7B0A5446" w14:textId="77777777" w:rsidR="008E1682" w:rsidRDefault="008E1682" w:rsidP="008E1682">
      <w:pPr>
        <w:tabs>
          <w:tab w:val="clear" w:pos="851"/>
        </w:tabs>
      </w:pPr>
    </w:p>
    <w:p w14:paraId="56500959" w14:textId="40854E8B" w:rsidR="008E1682" w:rsidRDefault="008E1682" w:rsidP="008E1682">
      <w:pPr>
        <w:tabs>
          <w:tab w:val="clear" w:pos="851"/>
        </w:tabs>
      </w:pPr>
      <w:r>
        <w:t>2</w:t>
      </w:r>
      <w:r w:rsidR="00491EF3">
        <w:t>3</w:t>
      </w:r>
      <w:r>
        <w:tab/>
        <w:t xml:space="preserve">As explained below, the co-sponsors propose that the mechanism for collecting GHG fees and disbursing feebates should be </w:t>
      </w:r>
      <w:r w:rsidR="0024019A">
        <w:t>distinct</w:t>
      </w:r>
      <w:r>
        <w:t xml:space="preserve"> to the Fund </w:t>
      </w:r>
      <w:r w:rsidR="0024019A">
        <w:t xml:space="preserve">for </w:t>
      </w:r>
      <w:r>
        <w:t>supporting</w:t>
      </w:r>
      <w:r w:rsidR="00B62A7B">
        <w:t>,</w:t>
      </w:r>
      <w:r>
        <w:t xml:space="preserve"> </w:t>
      </w:r>
      <w:r w:rsidR="0024019A">
        <w:t>inter alia</w:t>
      </w:r>
      <w:r w:rsidR="00B62A7B">
        <w:t>,</w:t>
      </w:r>
      <w:r w:rsidR="0024019A">
        <w:t xml:space="preserve"> </w:t>
      </w:r>
      <w:r>
        <w:t xml:space="preserve">maritime GHG reduction efforts in developing countries, and that feebates (rewards) would be </w:t>
      </w:r>
      <w:r w:rsidR="007E56A1">
        <w:t>disbursed</w:t>
      </w:r>
      <w:r>
        <w:t xml:space="preserve"> automatically via the </w:t>
      </w:r>
      <w:r w:rsidR="00AE1BD1">
        <w:t>“</w:t>
      </w:r>
      <w:r>
        <w:t>mechanism</w:t>
      </w:r>
      <w:r w:rsidR="00AE1BD1">
        <w:t>”</w:t>
      </w:r>
      <w:r>
        <w:t xml:space="preserve"> almost immediately after the GHG fees have been collected each calendar year. By specifying in the regulations that the proportion of </w:t>
      </w:r>
      <w:r w:rsidR="00690FCD">
        <w:t xml:space="preserve">total </w:t>
      </w:r>
      <w:r>
        <w:t xml:space="preserve">revenues to be allocated to the Fund will be less than would be the case if the feebates were met directly via the Fund, rather than via the </w:t>
      </w:r>
      <w:r w:rsidR="00690FCD">
        <w:t>“</w:t>
      </w:r>
      <w:r>
        <w:t>mechanism</w:t>
      </w:r>
      <w:r w:rsidR="00690FCD">
        <w:t>”</w:t>
      </w:r>
      <w:r>
        <w:t xml:space="preserve"> (which, as explained below, might cost </w:t>
      </w:r>
      <w:r w:rsidR="00B303E4">
        <w:t xml:space="preserve">up </w:t>
      </w:r>
      <w:r>
        <w:t>to US$</w:t>
      </w:r>
      <w:r w:rsidR="00C90279">
        <w:t>12.5</w:t>
      </w:r>
      <w:r>
        <w:t xml:space="preserve"> billion a year), a transfer of revenue to an IMO Fund in the order of up to about US$2</w:t>
      </w:r>
      <w:r w:rsidR="00C73944">
        <w:t>.5</w:t>
      </w:r>
      <w:r>
        <w:t xml:space="preserve"> billion each year should be less problematic for any government with concerns about a potentially larger sum being transferred to a Fund which is operated by a UN agency</w:t>
      </w:r>
      <w:r w:rsidR="006C0867">
        <w:t>.</w:t>
      </w:r>
      <w:r>
        <w:t xml:space="preserve"> </w:t>
      </w:r>
      <w:r w:rsidR="006C0867">
        <w:t>It is re-</w:t>
      </w:r>
      <w:r w:rsidR="006C0867">
        <w:lastRenderedPageBreak/>
        <w:t>emphasised</w:t>
      </w:r>
      <w:r>
        <w:t xml:space="preserve"> that these funds will be </w:t>
      </w:r>
      <w:r w:rsidR="006C0867">
        <w:t xml:space="preserve">sourced </w:t>
      </w:r>
      <w:r>
        <w:t>from the international shipping sector rather than from governments’ funds.</w:t>
      </w:r>
    </w:p>
    <w:p w14:paraId="5783885A" w14:textId="77777777" w:rsidR="008E1682" w:rsidRDefault="008E1682" w:rsidP="008E1682">
      <w:pPr>
        <w:tabs>
          <w:tab w:val="clear" w:pos="851"/>
        </w:tabs>
      </w:pPr>
    </w:p>
    <w:p w14:paraId="6C12C98C" w14:textId="13829307" w:rsidR="008E1682" w:rsidRDefault="008E1682" w:rsidP="008E1682">
      <w:pPr>
        <w:tabs>
          <w:tab w:val="clear" w:pos="851"/>
        </w:tabs>
      </w:pPr>
      <w:r>
        <w:t>2</w:t>
      </w:r>
      <w:r w:rsidR="00491EF3">
        <w:t>4</w:t>
      </w:r>
      <w:r>
        <w:tab/>
        <w:t xml:space="preserve">To make this approach acceptable to developing countries, including LDCs and SIDS, as mentioned above, the proposed regulations seek to guarantee, so far as possible, that a significant proportion of the GHG fees generated as a by-product of the </w:t>
      </w:r>
      <w:r w:rsidR="002701F8">
        <w:t>“</w:t>
      </w:r>
      <w:r>
        <w:t>mechanism</w:t>
      </w:r>
      <w:r w:rsidR="002701F8">
        <w:t>”</w:t>
      </w:r>
      <w:r>
        <w:t xml:space="preserve"> (for example 20% or up to around US$2</w:t>
      </w:r>
      <w:r w:rsidR="000C0975">
        <w:t>.5</w:t>
      </w:r>
      <w:r>
        <w:t xml:space="preserve"> billion per year) will be allocated to the IMO Net Zero Shipping Fund. Proposed draft regulation 44 – </w:t>
      </w:r>
      <w:r w:rsidRPr="001E3790">
        <w:rPr>
          <w:i/>
          <w:iCs/>
        </w:rPr>
        <w:t>Review of this chapter</w:t>
      </w:r>
      <w:r>
        <w:t>, in annex 1 to this document, also set</w:t>
      </w:r>
      <w:r w:rsidR="005C72B8">
        <w:t>s</w:t>
      </w:r>
      <w:r>
        <w:t xml:space="preserve"> out a clear intention that this guaranteed allocation of revenue to the Fund can be adjusted, if decided by the Committee, to take effect within 5 years of entry into force. </w:t>
      </w:r>
    </w:p>
    <w:p w14:paraId="27CAEC6F" w14:textId="77777777" w:rsidR="008E1682" w:rsidRDefault="008E1682" w:rsidP="008E1682">
      <w:pPr>
        <w:tabs>
          <w:tab w:val="clear" w:pos="851"/>
        </w:tabs>
      </w:pPr>
    </w:p>
    <w:p w14:paraId="2EDD1972" w14:textId="3A087DE4" w:rsidR="008E1682" w:rsidRPr="008E1682" w:rsidRDefault="008E1682" w:rsidP="008E1682">
      <w:pPr>
        <w:tabs>
          <w:tab w:val="clear" w:pos="851"/>
        </w:tabs>
        <w:rPr>
          <w:b/>
          <w:bCs/>
        </w:rPr>
      </w:pPr>
      <w:r w:rsidRPr="008E1682">
        <w:rPr>
          <w:b/>
          <w:bCs/>
        </w:rPr>
        <w:t>Treatment of life</w:t>
      </w:r>
      <w:r w:rsidR="00360C4B">
        <w:rPr>
          <w:b/>
          <w:bCs/>
        </w:rPr>
        <w:t xml:space="preserve"> </w:t>
      </w:r>
      <w:r w:rsidRPr="008E1682">
        <w:rPr>
          <w:b/>
          <w:bCs/>
        </w:rPr>
        <w:t xml:space="preserve">cycle emissions </w:t>
      </w:r>
    </w:p>
    <w:p w14:paraId="7325E9F3" w14:textId="77777777" w:rsidR="008E1682" w:rsidRDefault="008E1682" w:rsidP="008E1682">
      <w:pPr>
        <w:tabs>
          <w:tab w:val="clear" w:pos="851"/>
        </w:tabs>
      </w:pPr>
    </w:p>
    <w:p w14:paraId="108D10AF" w14:textId="7F815E09" w:rsidR="008E1682" w:rsidRDefault="008E1682" w:rsidP="008E1682">
      <w:pPr>
        <w:tabs>
          <w:tab w:val="clear" w:pos="851"/>
        </w:tabs>
      </w:pPr>
      <w:r>
        <w:t>2</w:t>
      </w:r>
      <w:r w:rsidR="00491EF3">
        <w:t>5</w:t>
      </w:r>
      <w:r>
        <w:tab/>
        <w:t>The suggested MARPOL amendments, in annex 1 of this document, set out the GHG fee (contribution) by ships per tonne of CO</w:t>
      </w:r>
      <w:r w:rsidRPr="001E3790">
        <w:rPr>
          <w:vertAlign w:val="subscript"/>
        </w:rPr>
        <w:t>2</w:t>
      </w:r>
      <w:r>
        <w:t xml:space="preserve">e emitted, and the reward rate </w:t>
      </w:r>
      <w:r w:rsidRPr="00EF532D">
        <w:rPr>
          <w:u w:val="single"/>
        </w:rPr>
        <w:t>per tonne of CO</w:t>
      </w:r>
      <w:r w:rsidRPr="00EF532D">
        <w:rPr>
          <w:u w:val="single"/>
          <w:vertAlign w:val="subscript"/>
        </w:rPr>
        <w:t>2</w:t>
      </w:r>
      <w:r w:rsidRPr="00EF532D">
        <w:rPr>
          <w:u w:val="single"/>
        </w:rPr>
        <w:t>e prevented</w:t>
      </w:r>
      <w:r>
        <w:t xml:space="preserve"> </w:t>
      </w:r>
      <w:r w:rsidR="003E2A48">
        <w:t xml:space="preserve">through </w:t>
      </w:r>
      <w:r>
        <w:t>the use by ships of eligible zero/near-zero GHG fuels, technologies and energy sources, expressed in US$ per tonne of CO</w:t>
      </w:r>
      <w:r w:rsidRPr="001E3790">
        <w:rPr>
          <w:vertAlign w:val="subscript"/>
        </w:rPr>
        <w:t>2</w:t>
      </w:r>
      <w:r>
        <w:t xml:space="preserve">e. </w:t>
      </w:r>
    </w:p>
    <w:p w14:paraId="0EC5B15D" w14:textId="77777777" w:rsidR="008E1682" w:rsidRDefault="008E1682" w:rsidP="008E1682">
      <w:pPr>
        <w:tabs>
          <w:tab w:val="clear" w:pos="851"/>
        </w:tabs>
      </w:pPr>
    </w:p>
    <w:p w14:paraId="51320192" w14:textId="543ED80F" w:rsidR="008E1682" w:rsidRDefault="008E1682" w:rsidP="008E1682">
      <w:pPr>
        <w:tabs>
          <w:tab w:val="clear" w:pos="851"/>
        </w:tabs>
      </w:pPr>
      <w:r>
        <w:t>2</w:t>
      </w:r>
      <w:r w:rsidR="00491EF3">
        <w:t>6</w:t>
      </w:r>
      <w:r>
        <w:tab/>
        <w:t>The 2023 IMO GHG Strategy requires the mid-term measures to “take account” of Well</w:t>
      </w:r>
      <w:r w:rsidR="00C3791C">
        <w:t>-</w:t>
      </w:r>
      <w:r>
        <w:t>to</w:t>
      </w:r>
      <w:r w:rsidR="00C3791C">
        <w:t>-</w:t>
      </w:r>
      <w:r>
        <w:t xml:space="preserve">Wake (WTW) emissions, although the co-sponsors acknowledge the concern of many Member States about </w:t>
      </w:r>
      <w:r w:rsidRPr="00692FA1">
        <w:rPr>
          <w:u w:val="single"/>
        </w:rPr>
        <w:t>charging</w:t>
      </w:r>
      <w:r>
        <w:t xml:space="preserve"> ships for emissions which they view as the responsibility of other sectors</w:t>
      </w:r>
      <w:r w:rsidR="007141AF">
        <w:t xml:space="preserve">, </w:t>
      </w:r>
      <w:r w:rsidR="00BE384A">
        <w:t>which are addressed by the NDCs of Parties to the UNFCCC Paris Agreement and which may already be subject to ‘carbon pricing’</w:t>
      </w:r>
      <w:r w:rsidR="002C2C96">
        <w:t>.</w:t>
      </w:r>
      <w:r>
        <w:t xml:space="preserve"> To accommodate this concern, whilst the maritime GHG emissions pricing mechanism should take account of WTW emissions, the co-sponsors suggest that what is most important is that the way in which GHG fees (contributions) to be made by ships are calculated should be compatible, as required by the IMO 2023 GHG Strategy, ʺwith reducing GHG emissions within the boundaries of the energy system of international shipping and preventing a shift of emissions to other sectorsʺ.</w:t>
      </w:r>
    </w:p>
    <w:p w14:paraId="06730E24" w14:textId="77777777" w:rsidR="008E1682" w:rsidRDefault="008E1682" w:rsidP="008E1682">
      <w:pPr>
        <w:tabs>
          <w:tab w:val="clear" w:pos="851"/>
        </w:tabs>
      </w:pPr>
    </w:p>
    <w:p w14:paraId="731D074B" w14:textId="0468AB3A" w:rsidR="00C51831" w:rsidRDefault="008E1682" w:rsidP="008E1682">
      <w:pPr>
        <w:tabs>
          <w:tab w:val="clear" w:pos="851"/>
        </w:tabs>
      </w:pPr>
      <w:r>
        <w:t>2</w:t>
      </w:r>
      <w:r w:rsidR="00491EF3">
        <w:t>7</w:t>
      </w:r>
      <w:r>
        <w:t xml:space="preserve"> </w:t>
      </w:r>
      <w:r>
        <w:tab/>
        <w:t>To achieve agreement on this issue, the co-sponsors suggest that the regulation setting out the GHG fee (contribution) per tonne of CO</w:t>
      </w:r>
      <w:r w:rsidRPr="00122CF3">
        <w:rPr>
          <w:vertAlign w:val="subscript"/>
        </w:rPr>
        <w:t>2</w:t>
      </w:r>
      <w:r>
        <w:t>e emitted should not be explicit as to how life</w:t>
      </w:r>
      <w:r w:rsidR="00360C4B">
        <w:t xml:space="preserve"> </w:t>
      </w:r>
      <w:r>
        <w:t xml:space="preserve">cycle emissions should be accounted for, and that the actual GHG fees for different fuel types </w:t>
      </w:r>
      <w:r w:rsidRPr="008E1682">
        <w:rPr>
          <w:u w:val="single"/>
        </w:rPr>
        <w:t>per tonne of fuel consumed</w:t>
      </w:r>
      <w:r>
        <w:t xml:space="preserve"> (as distinct from CO</w:t>
      </w:r>
      <w:r w:rsidRPr="00122CF3">
        <w:rPr>
          <w:vertAlign w:val="subscript"/>
        </w:rPr>
        <w:t>2</w:t>
      </w:r>
      <w:r>
        <w:t xml:space="preserve">e emitted) should be set out in separate guidelines, adopted by an MEPC resolution. As set out in annex 2 of this document, these Guidelines should clarify that the GHG fees for different fuel types, </w:t>
      </w:r>
      <w:r w:rsidRPr="008E1682">
        <w:rPr>
          <w:u w:val="single"/>
        </w:rPr>
        <w:t>per tonne of fuel consumed</w:t>
      </w:r>
      <w:r>
        <w:t xml:space="preserve">, will be based on the </w:t>
      </w:r>
      <w:r w:rsidRPr="008E1682">
        <w:rPr>
          <w:u w:val="single"/>
        </w:rPr>
        <w:t xml:space="preserve">lower of the TTW </w:t>
      </w:r>
      <w:r w:rsidR="00365F17">
        <w:rPr>
          <w:u w:val="single"/>
        </w:rPr>
        <w:t>or</w:t>
      </w:r>
      <w:r w:rsidR="00365F17" w:rsidRPr="008E1682">
        <w:rPr>
          <w:u w:val="single"/>
        </w:rPr>
        <w:t xml:space="preserve"> </w:t>
      </w:r>
      <w:r w:rsidRPr="008E1682">
        <w:rPr>
          <w:u w:val="single"/>
        </w:rPr>
        <w:t>WTW CO</w:t>
      </w:r>
      <w:r w:rsidRPr="008E1682">
        <w:rPr>
          <w:u w:val="single"/>
          <w:vertAlign w:val="subscript"/>
        </w:rPr>
        <w:t>2</w:t>
      </w:r>
      <w:r w:rsidRPr="008E1682">
        <w:rPr>
          <w:u w:val="single"/>
        </w:rPr>
        <w:t>e conversion factors</w:t>
      </w:r>
      <w:r>
        <w:t xml:space="preserve"> (but not less than zero) as determined by the LCA Guidelines, and that feebates (rewards) for the CO</w:t>
      </w:r>
      <w:r w:rsidRPr="008E1682">
        <w:rPr>
          <w:vertAlign w:val="subscript"/>
        </w:rPr>
        <w:t>2</w:t>
      </w:r>
      <w:r>
        <w:t>e emissions prevented by the use of eligible zero/near-zero GHG fuels, energy sources and technologies will be calculated on a WTW basis (as no charges will be involved).</w:t>
      </w:r>
      <w:r w:rsidR="005077D2">
        <w:rPr>
          <w:rStyle w:val="FootnoteReference"/>
        </w:rPr>
        <w:footnoteReference w:id="2"/>
      </w:r>
    </w:p>
    <w:p w14:paraId="0016CE03" w14:textId="77777777" w:rsidR="00C51831" w:rsidRDefault="00C51831" w:rsidP="008E1682">
      <w:pPr>
        <w:tabs>
          <w:tab w:val="clear" w:pos="851"/>
        </w:tabs>
      </w:pPr>
    </w:p>
    <w:p w14:paraId="6EE3A022" w14:textId="6B32E9DF" w:rsidR="00245C57" w:rsidRDefault="008E1682" w:rsidP="00245C57">
      <w:pPr>
        <w:tabs>
          <w:tab w:val="clear" w:pos="851"/>
        </w:tabs>
      </w:pPr>
      <w:r>
        <w:t>2</w:t>
      </w:r>
      <w:r w:rsidR="00491EF3">
        <w:t>8</w:t>
      </w:r>
      <w:r>
        <w:tab/>
        <w:t xml:space="preserve">With regard to calculating the GHG intensity of marine fuels under the goal-based fuel standard, this </w:t>
      </w:r>
      <w:r w:rsidR="009301F7">
        <w:t xml:space="preserve">can be </w:t>
      </w:r>
      <w:r>
        <w:t>based on a WTW approach</w:t>
      </w:r>
      <w:r w:rsidR="00234E5F">
        <w:t xml:space="preserve"> </w:t>
      </w:r>
      <w:r>
        <w:t>and</w:t>
      </w:r>
      <w:r w:rsidR="00234E5F">
        <w:t>,</w:t>
      </w:r>
      <w:r>
        <w:t xml:space="preserve"> </w:t>
      </w:r>
      <w:r w:rsidR="009C6EC7">
        <w:t>in annex 1 of this document</w:t>
      </w:r>
      <w:r w:rsidR="00234E5F">
        <w:t>,</w:t>
      </w:r>
      <w:r w:rsidR="009C6EC7">
        <w:t xml:space="preserve"> </w:t>
      </w:r>
      <w:r>
        <w:t xml:space="preserve">reference is made to GFI being calculated on a WTW basis in proposed Regulation 34 – </w:t>
      </w:r>
      <w:r w:rsidRPr="001E3790">
        <w:rPr>
          <w:i/>
          <w:iCs/>
        </w:rPr>
        <w:t>Functional requirements</w:t>
      </w:r>
      <w:r>
        <w:t xml:space="preserve">.  But this will only be acceptable provided that </w:t>
      </w:r>
      <w:r w:rsidRPr="00692FA1">
        <w:rPr>
          <w:u w:val="single"/>
        </w:rPr>
        <w:t>no charges</w:t>
      </w:r>
      <w:r>
        <w:t xml:space="preserve"> will apply to upstream emissions that result from under-compliance with the Required GFI by a ship. This can be </w:t>
      </w:r>
      <w:r>
        <w:lastRenderedPageBreak/>
        <w:t>achieved by the proposed “GHG Surcharge Fee” for CO</w:t>
      </w:r>
      <w:r w:rsidRPr="001E3790">
        <w:rPr>
          <w:vertAlign w:val="subscript"/>
        </w:rPr>
        <w:t>2</w:t>
      </w:r>
      <w:r>
        <w:t xml:space="preserve">e emissions that result from under-compliance with the fuel standard which, as part of an integrated measure, will be linked to the GHG fee under the </w:t>
      </w:r>
      <w:r w:rsidR="0024019A">
        <w:t>distinct</w:t>
      </w:r>
      <w:r>
        <w:t xml:space="preserve"> maritime GHG emissions pricing mechanism</w:t>
      </w:r>
      <w:r w:rsidR="00615542">
        <w:t xml:space="preserve"> (see paragraph 36 </w:t>
      </w:r>
      <w:r w:rsidR="00615542" w:rsidRPr="00BD5075">
        <w:t>below</w:t>
      </w:r>
      <w:r w:rsidR="00615542">
        <w:t xml:space="preserve">). </w:t>
      </w:r>
      <w:r>
        <w:t xml:space="preserve">As explained above, this means that the GHG Surcharge Fee will be based on the lower of the TTW </w:t>
      </w:r>
      <w:r w:rsidR="00CD2840">
        <w:t xml:space="preserve">or </w:t>
      </w:r>
      <w:r>
        <w:t>WTW CO</w:t>
      </w:r>
      <w:r w:rsidRPr="001E3790">
        <w:rPr>
          <w:vertAlign w:val="subscript"/>
        </w:rPr>
        <w:t>2</w:t>
      </w:r>
      <w:r>
        <w:t>e conversion factors of the under-compli</w:t>
      </w:r>
      <w:r w:rsidR="009743B8">
        <w:t>a</w:t>
      </w:r>
      <w:r>
        <w:t>nt fuels consumed, as determined by the LCA Guidelines.</w:t>
      </w:r>
    </w:p>
    <w:p w14:paraId="2DF5E5A6" w14:textId="77777777" w:rsidR="00386CED" w:rsidRDefault="00386CED" w:rsidP="00245C57">
      <w:pPr>
        <w:tabs>
          <w:tab w:val="clear" w:pos="851"/>
        </w:tabs>
        <w:rPr>
          <w:b/>
          <w:bCs/>
          <w:color w:val="000000" w:themeColor="text1"/>
          <w:szCs w:val="22"/>
          <w:lang w:eastAsia="ja-JP"/>
        </w:rPr>
      </w:pPr>
    </w:p>
    <w:p w14:paraId="7473AE58" w14:textId="03FD781F" w:rsidR="00793318" w:rsidRPr="00245C57" w:rsidRDefault="00793318" w:rsidP="00245C57">
      <w:pPr>
        <w:tabs>
          <w:tab w:val="clear" w:pos="851"/>
        </w:tabs>
      </w:pPr>
      <w:r w:rsidRPr="00C345D6">
        <w:rPr>
          <w:b/>
          <w:bCs/>
          <w:color w:val="000000" w:themeColor="text1"/>
          <w:szCs w:val="22"/>
          <w:lang w:eastAsia="ja-JP"/>
        </w:rPr>
        <w:t xml:space="preserve">Avoidance of double charging for </w:t>
      </w:r>
      <w:r w:rsidR="00556ED0">
        <w:rPr>
          <w:b/>
          <w:bCs/>
          <w:color w:val="000000" w:themeColor="text1"/>
          <w:szCs w:val="22"/>
          <w:lang w:eastAsia="ja-JP"/>
        </w:rPr>
        <w:t xml:space="preserve">GHG </w:t>
      </w:r>
      <w:r w:rsidRPr="00C345D6">
        <w:rPr>
          <w:b/>
          <w:bCs/>
          <w:color w:val="000000" w:themeColor="text1"/>
          <w:szCs w:val="22"/>
          <w:lang w:eastAsia="ja-JP"/>
        </w:rPr>
        <w:t>emissions</w:t>
      </w:r>
      <w:r w:rsidR="00E46F00" w:rsidRPr="00C345D6">
        <w:rPr>
          <w:b/>
          <w:bCs/>
          <w:color w:val="000000" w:themeColor="text1"/>
          <w:szCs w:val="22"/>
          <w:lang w:eastAsia="ja-JP"/>
        </w:rPr>
        <w:tab/>
      </w:r>
    </w:p>
    <w:p w14:paraId="76040884" w14:textId="77777777" w:rsidR="00793318" w:rsidRPr="00C345D6" w:rsidRDefault="00793318" w:rsidP="00E46F00">
      <w:pPr>
        <w:rPr>
          <w:b/>
          <w:bCs/>
          <w:color w:val="000000" w:themeColor="text1"/>
          <w:szCs w:val="22"/>
          <w:lang w:eastAsia="ja-JP"/>
        </w:rPr>
      </w:pPr>
    </w:p>
    <w:p w14:paraId="563A7D0D" w14:textId="6E32DD09" w:rsidR="00DC7D31" w:rsidRDefault="00793318" w:rsidP="008F5CF0">
      <w:pPr>
        <w:rPr>
          <w:color w:val="000000" w:themeColor="text1"/>
          <w:szCs w:val="22"/>
          <w:lang w:eastAsia="ja-JP"/>
        </w:rPr>
      </w:pPr>
      <w:r>
        <w:rPr>
          <w:color w:val="000000" w:themeColor="text1"/>
          <w:szCs w:val="22"/>
          <w:lang w:eastAsia="ja-JP"/>
        </w:rPr>
        <w:t>2</w:t>
      </w:r>
      <w:r w:rsidR="00491EF3">
        <w:rPr>
          <w:color w:val="000000" w:themeColor="text1"/>
          <w:szCs w:val="22"/>
          <w:lang w:eastAsia="ja-JP"/>
        </w:rPr>
        <w:t>9</w:t>
      </w:r>
      <w:r>
        <w:rPr>
          <w:color w:val="000000" w:themeColor="text1"/>
          <w:szCs w:val="22"/>
          <w:lang w:eastAsia="ja-JP"/>
        </w:rPr>
        <w:tab/>
      </w:r>
      <w:r w:rsidR="007E191A">
        <w:rPr>
          <w:color w:val="000000" w:themeColor="text1"/>
          <w:szCs w:val="22"/>
          <w:lang w:eastAsia="ja-JP"/>
        </w:rPr>
        <w:t xml:space="preserve">As explained above, </w:t>
      </w:r>
      <w:r w:rsidR="00DC7D31">
        <w:rPr>
          <w:color w:val="000000" w:themeColor="text1"/>
          <w:szCs w:val="22"/>
          <w:lang w:eastAsia="ja-JP"/>
        </w:rPr>
        <w:t xml:space="preserve">establishment </w:t>
      </w:r>
      <w:r w:rsidR="00FA3E51">
        <w:rPr>
          <w:color w:val="000000" w:themeColor="text1"/>
          <w:szCs w:val="22"/>
          <w:lang w:eastAsia="ja-JP"/>
        </w:rPr>
        <w:t xml:space="preserve">by the Organization </w:t>
      </w:r>
      <w:r w:rsidR="00DC7D31">
        <w:rPr>
          <w:color w:val="000000" w:themeColor="text1"/>
          <w:szCs w:val="22"/>
          <w:lang w:eastAsia="ja-JP"/>
        </w:rPr>
        <w:t xml:space="preserve">of </w:t>
      </w:r>
      <w:r w:rsidR="008D4946">
        <w:rPr>
          <w:color w:val="000000" w:themeColor="text1"/>
          <w:szCs w:val="22"/>
          <w:lang w:eastAsia="ja-JP"/>
        </w:rPr>
        <w:t xml:space="preserve">a </w:t>
      </w:r>
      <w:r w:rsidR="0024019A">
        <w:rPr>
          <w:color w:val="000000" w:themeColor="text1"/>
          <w:szCs w:val="22"/>
          <w:lang w:eastAsia="ja-JP"/>
        </w:rPr>
        <w:t>distinct</w:t>
      </w:r>
      <w:r w:rsidR="008D4946">
        <w:rPr>
          <w:color w:val="000000" w:themeColor="text1"/>
          <w:szCs w:val="22"/>
          <w:lang w:eastAsia="ja-JP"/>
        </w:rPr>
        <w:t xml:space="preserve"> </w:t>
      </w:r>
      <w:r w:rsidR="006E08D9">
        <w:rPr>
          <w:color w:val="000000" w:themeColor="text1"/>
          <w:szCs w:val="22"/>
          <w:lang w:eastAsia="ja-JP"/>
        </w:rPr>
        <w:t xml:space="preserve">maritime </w:t>
      </w:r>
      <w:r w:rsidR="008D4946">
        <w:rPr>
          <w:color w:val="000000" w:themeColor="text1"/>
          <w:szCs w:val="22"/>
          <w:lang w:eastAsia="ja-JP"/>
        </w:rPr>
        <w:t>GHG emission</w:t>
      </w:r>
      <w:r w:rsidR="006E08D9">
        <w:rPr>
          <w:color w:val="000000" w:themeColor="text1"/>
          <w:szCs w:val="22"/>
          <w:lang w:eastAsia="ja-JP"/>
        </w:rPr>
        <w:t>s pricing mechanism</w:t>
      </w:r>
      <w:r w:rsidR="007553C0">
        <w:rPr>
          <w:color w:val="000000" w:themeColor="text1"/>
          <w:szCs w:val="22"/>
          <w:lang w:eastAsia="ja-JP"/>
        </w:rPr>
        <w:t>,</w:t>
      </w:r>
      <w:r w:rsidR="008D4946">
        <w:rPr>
          <w:color w:val="000000" w:themeColor="text1"/>
          <w:szCs w:val="22"/>
          <w:lang w:eastAsia="ja-JP"/>
        </w:rPr>
        <w:t xml:space="preserve"> </w:t>
      </w:r>
      <w:r w:rsidR="00DC7D31">
        <w:rPr>
          <w:color w:val="000000" w:themeColor="text1"/>
          <w:szCs w:val="22"/>
          <w:lang w:eastAsia="ja-JP"/>
        </w:rPr>
        <w:t xml:space="preserve">with </w:t>
      </w:r>
      <w:r w:rsidR="00CF55B4">
        <w:rPr>
          <w:color w:val="000000" w:themeColor="text1"/>
          <w:szCs w:val="22"/>
          <w:lang w:eastAsia="ja-JP"/>
        </w:rPr>
        <w:t xml:space="preserve">flat rate </w:t>
      </w:r>
      <w:r w:rsidR="00DC7D31">
        <w:rPr>
          <w:color w:val="000000" w:themeColor="text1"/>
          <w:szCs w:val="22"/>
          <w:lang w:eastAsia="ja-JP"/>
        </w:rPr>
        <w:t xml:space="preserve">GHG fees </w:t>
      </w:r>
      <w:r w:rsidR="00CF55B4">
        <w:rPr>
          <w:color w:val="000000" w:themeColor="text1"/>
          <w:szCs w:val="22"/>
          <w:lang w:eastAsia="ja-JP"/>
        </w:rPr>
        <w:t xml:space="preserve">(contributions) </w:t>
      </w:r>
      <w:r w:rsidR="007553C0">
        <w:rPr>
          <w:color w:val="000000" w:themeColor="text1"/>
          <w:szCs w:val="22"/>
          <w:lang w:eastAsia="ja-JP"/>
        </w:rPr>
        <w:t xml:space="preserve">by ships </w:t>
      </w:r>
      <w:r w:rsidR="00CF55B4">
        <w:rPr>
          <w:color w:val="000000" w:themeColor="text1"/>
          <w:szCs w:val="22"/>
          <w:lang w:eastAsia="ja-JP"/>
        </w:rPr>
        <w:t>based on CO</w:t>
      </w:r>
      <w:r w:rsidR="00CF55B4" w:rsidRPr="00C345D6">
        <w:rPr>
          <w:color w:val="000000" w:themeColor="text1"/>
          <w:szCs w:val="22"/>
          <w:vertAlign w:val="subscript"/>
          <w:lang w:eastAsia="ja-JP"/>
        </w:rPr>
        <w:t>2</w:t>
      </w:r>
      <w:r w:rsidR="007553C0" w:rsidRPr="00C345D6">
        <w:rPr>
          <w:color w:val="000000" w:themeColor="text1"/>
          <w:szCs w:val="22"/>
          <w:lang w:eastAsia="ja-JP"/>
        </w:rPr>
        <w:t>e</w:t>
      </w:r>
      <w:r w:rsidR="00CF55B4">
        <w:rPr>
          <w:color w:val="000000" w:themeColor="text1"/>
          <w:szCs w:val="22"/>
          <w:lang w:eastAsia="ja-JP"/>
        </w:rPr>
        <w:t xml:space="preserve"> emitted</w:t>
      </w:r>
      <w:r w:rsidR="00FA3E51">
        <w:rPr>
          <w:color w:val="000000" w:themeColor="text1"/>
          <w:szCs w:val="22"/>
          <w:lang w:eastAsia="ja-JP"/>
        </w:rPr>
        <w:t xml:space="preserve">, </w:t>
      </w:r>
      <w:r w:rsidR="006E4C06">
        <w:rPr>
          <w:color w:val="000000" w:themeColor="text1"/>
          <w:szCs w:val="22"/>
          <w:lang w:eastAsia="ja-JP"/>
        </w:rPr>
        <w:t>is o</w:t>
      </w:r>
      <w:r w:rsidR="007553C0">
        <w:rPr>
          <w:color w:val="000000" w:themeColor="text1"/>
          <w:szCs w:val="22"/>
          <w:lang w:eastAsia="ja-JP"/>
        </w:rPr>
        <w:t>f</w:t>
      </w:r>
      <w:r w:rsidR="006E4C06">
        <w:rPr>
          <w:color w:val="000000" w:themeColor="text1"/>
          <w:szCs w:val="22"/>
          <w:lang w:eastAsia="ja-JP"/>
        </w:rPr>
        <w:t xml:space="preserve"> utmost importance to discourage the proliferation of piecemeal, unilateral </w:t>
      </w:r>
      <w:r w:rsidR="00733EF9">
        <w:rPr>
          <w:color w:val="000000" w:themeColor="text1"/>
          <w:szCs w:val="22"/>
          <w:lang w:eastAsia="ja-JP"/>
        </w:rPr>
        <w:t>charges for GHG emissions being applied to ships</w:t>
      </w:r>
      <w:r w:rsidR="00916B6C">
        <w:rPr>
          <w:color w:val="000000" w:themeColor="text1"/>
          <w:szCs w:val="22"/>
          <w:lang w:eastAsia="ja-JP"/>
        </w:rPr>
        <w:t xml:space="preserve"> worldwide</w:t>
      </w:r>
      <w:r w:rsidR="00733EF9">
        <w:rPr>
          <w:color w:val="000000" w:themeColor="text1"/>
          <w:szCs w:val="22"/>
          <w:lang w:eastAsia="ja-JP"/>
        </w:rPr>
        <w:t xml:space="preserve">, </w:t>
      </w:r>
      <w:r w:rsidR="006A2037">
        <w:rPr>
          <w:color w:val="000000" w:themeColor="text1"/>
          <w:szCs w:val="22"/>
          <w:lang w:eastAsia="ja-JP"/>
        </w:rPr>
        <w:t>on a regional</w:t>
      </w:r>
      <w:r w:rsidR="00E84A1E">
        <w:rPr>
          <w:color w:val="000000" w:themeColor="text1"/>
          <w:szCs w:val="22"/>
          <w:lang w:eastAsia="ja-JP"/>
        </w:rPr>
        <w:t xml:space="preserve"> and/or national basis, </w:t>
      </w:r>
      <w:r w:rsidR="0024019A">
        <w:rPr>
          <w:color w:val="000000" w:themeColor="text1"/>
          <w:szCs w:val="22"/>
          <w:lang w:eastAsia="ja-JP"/>
        </w:rPr>
        <w:t xml:space="preserve">with the risk of double charging, </w:t>
      </w:r>
      <w:r w:rsidR="00733EF9">
        <w:rPr>
          <w:color w:val="000000" w:themeColor="text1"/>
          <w:szCs w:val="22"/>
          <w:lang w:eastAsia="ja-JP"/>
        </w:rPr>
        <w:t>undermining the maintenance of a glo</w:t>
      </w:r>
      <w:r w:rsidR="007553C0">
        <w:rPr>
          <w:color w:val="000000" w:themeColor="text1"/>
          <w:szCs w:val="22"/>
          <w:lang w:eastAsia="ja-JP"/>
        </w:rPr>
        <w:t>bal regulatory framework for shipping.</w:t>
      </w:r>
    </w:p>
    <w:p w14:paraId="685265FF" w14:textId="77777777" w:rsidR="00DC7D31" w:rsidRDefault="00DC7D31" w:rsidP="008F5CF0">
      <w:pPr>
        <w:rPr>
          <w:color w:val="000000" w:themeColor="text1"/>
          <w:szCs w:val="22"/>
          <w:lang w:eastAsia="ja-JP"/>
        </w:rPr>
      </w:pPr>
    </w:p>
    <w:p w14:paraId="6C594294" w14:textId="7C5E7D17" w:rsidR="001F7296" w:rsidRDefault="00160E2A" w:rsidP="00C345D6">
      <w:pPr>
        <w:rPr>
          <w:color w:val="000000" w:themeColor="text1"/>
          <w:szCs w:val="22"/>
        </w:rPr>
      </w:pPr>
      <w:r>
        <w:rPr>
          <w:color w:val="000000" w:themeColor="text1"/>
          <w:szCs w:val="22"/>
          <w:lang w:eastAsia="ja-JP"/>
        </w:rPr>
        <w:t>30</w:t>
      </w:r>
      <w:r w:rsidR="00B023E2">
        <w:rPr>
          <w:color w:val="000000" w:themeColor="text1"/>
          <w:szCs w:val="22"/>
          <w:lang w:eastAsia="ja-JP"/>
        </w:rPr>
        <w:tab/>
        <w:t xml:space="preserve">To </w:t>
      </w:r>
      <w:r w:rsidR="00E46F00" w:rsidRPr="00E3618B">
        <w:rPr>
          <w:color w:val="000000" w:themeColor="text1"/>
          <w:szCs w:val="22"/>
          <w:lang w:eastAsia="ja-JP"/>
        </w:rPr>
        <w:t xml:space="preserve">avoid double </w:t>
      </w:r>
      <w:r w:rsidR="00E46F00">
        <w:rPr>
          <w:color w:val="000000" w:themeColor="text1"/>
          <w:szCs w:val="22"/>
          <w:lang w:eastAsia="ja-JP"/>
        </w:rPr>
        <w:t>charging</w:t>
      </w:r>
      <w:r w:rsidR="00E46F00" w:rsidRPr="00E3618B">
        <w:rPr>
          <w:color w:val="000000" w:themeColor="text1"/>
          <w:szCs w:val="22"/>
          <w:lang w:eastAsia="ja-JP"/>
        </w:rPr>
        <w:t xml:space="preserve"> </w:t>
      </w:r>
      <w:r w:rsidR="00E46F00">
        <w:rPr>
          <w:color w:val="000000" w:themeColor="text1"/>
          <w:szCs w:val="22"/>
          <w:lang w:eastAsia="ja-JP"/>
        </w:rPr>
        <w:t>for</w:t>
      </w:r>
      <w:r w:rsidR="00E46F00" w:rsidRPr="00E3618B">
        <w:rPr>
          <w:color w:val="000000" w:themeColor="text1"/>
          <w:szCs w:val="22"/>
          <w:lang w:eastAsia="ja-JP"/>
        </w:rPr>
        <w:t xml:space="preserve"> CO</w:t>
      </w:r>
      <w:r w:rsidR="00E46F00" w:rsidRPr="00E3618B">
        <w:rPr>
          <w:color w:val="000000" w:themeColor="text1"/>
          <w:szCs w:val="22"/>
          <w:vertAlign w:val="subscript"/>
          <w:lang w:eastAsia="ja-JP"/>
        </w:rPr>
        <w:t>2</w:t>
      </w:r>
      <w:r w:rsidR="00E46F00" w:rsidRPr="00E3618B">
        <w:rPr>
          <w:color w:val="000000" w:themeColor="text1"/>
          <w:szCs w:val="22"/>
          <w:lang w:eastAsia="ja-JP"/>
        </w:rPr>
        <w:t xml:space="preserve">e emissions, both in measures adopted by the Organization and other </w:t>
      </w:r>
      <w:r w:rsidR="000D2ECB">
        <w:rPr>
          <w:color w:val="000000" w:themeColor="text1"/>
          <w:szCs w:val="22"/>
          <w:lang w:eastAsia="ja-JP"/>
        </w:rPr>
        <w:t xml:space="preserve">existing </w:t>
      </w:r>
      <w:r w:rsidR="00E46F00" w:rsidRPr="00E3618B">
        <w:rPr>
          <w:color w:val="000000" w:themeColor="text1"/>
          <w:szCs w:val="22"/>
          <w:lang w:eastAsia="ja-JP"/>
        </w:rPr>
        <w:t xml:space="preserve">regional or national measures, the mandatory GHG fee made by a ship via the maritime GHG emissions pricing mechanism established for international shipping should not be duplicative, and emissions or fuel consumption </w:t>
      </w:r>
      <w:r w:rsidR="00E46F00">
        <w:rPr>
          <w:color w:val="000000" w:themeColor="text1"/>
          <w:szCs w:val="22"/>
          <w:lang w:eastAsia="ja-JP"/>
        </w:rPr>
        <w:t xml:space="preserve">that forms </w:t>
      </w:r>
      <w:r w:rsidR="00E46F00" w:rsidRPr="00E3618B">
        <w:rPr>
          <w:color w:val="000000" w:themeColor="text1"/>
          <w:szCs w:val="22"/>
          <w:lang w:eastAsia="ja-JP"/>
        </w:rPr>
        <w:t xml:space="preserve">the basis of such a GHG fee </w:t>
      </w:r>
      <w:r w:rsidR="00E46F00">
        <w:rPr>
          <w:color w:val="000000" w:themeColor="text1"/>
          <w:szCs w:val="22"/>
          <w:lang w:eastAsia="ja-JP"/>
        </w:rPr>
        <w:t xml:space="preserve">or charges for GHG emissions </w:t>
      </w:r>
      <w:r w:rsidR="00E46F00" w:rsidRPr="00E3618B">
        <w:rPr>
          <w:color w:val="000000" w:themeColor="text1"/>
          <w:szCs w:val="22"/>
          <w:lang w:eastAsia="ja-JP"/>
        </w:rPr>
        <w:t xml:space="preserve">should be accounted for only once. </w:t>
      </w:r>
      <w:r w:rsidR="00037345">
        <w:rPr>
          <w:color w:val="000000" w:themeColor="text1"/>
          <w:szCs w:val="22"/>
          <w:lang w:eastAsia="ja-JP"/>
        </w:rPr>
        <w:t>A provision to the effect has been included in</w:t>
      </w:r>
      <w:r w:rsidR="00C666F1">
        <w:rPr>
          <w:color w:val="000000" w:themeColor="text1"/>
          <w:szCs w:val="22"/>
          <w:lang w:eastAsia="ja-JP"/>
        </w:rPr>
        <w:t xml:space="preserve"> paragraph 5 of</w:t>
      </w:r>
      <w:r w:rsidR="00037345">
        <w:rPr>
          <w:color w:val="000000" w:themeColor="text1"/>
          <w:szCs w:val="22"/>
          <w:lang w:eastAsia="ja-JP"/>
        </w:rPr>
        <w:t xml:space="preserve"> the </w:t>
      </w:r>
      <w:r w:rsidR="001E47B3">
        <w:rPr>
          <w:color w:val="000000" w:themeColor="text1"/>
          <w:szCs w:val="22"/>
          <w:lang w:eastAsia="ja-JP"/>
        </w:rPr>
        <w:t>pro</w:t>
      </w:r>
      <w:r w:rsidR="00416901">
        <w:rPr>
          <w:color w:val="000000" w:themeColor="text1"/>
          <w:szCs w:val="22"/>
          <w:lang w:eastAsia="ja-JP"/>
        </w:rPr>
        <w:t xml:space="preserve">posed </w:t>
      </w:r>
      <w:r w:rsidR="008F5CF0" w:rsidRPr="008F5CF0">
        <w:rPr>
          <w:color w:val="000000" w:themeColor="text1"/>
          <w:szCs w:val="22"/>
        </w:rPr>
        <w:t xml:space="preserve">Guidelines </w:t>
      </w:r>
      <w:r w:rsidR="008F5CF0">
        <w:rPr>
          <w:color w:val="000000" w:themeColor="text1"/>
          <w:szCs w:val="22"/>
        </w:rPr>
        <w:t>f</w:t>
      </w:r>
      <w:r w:rsidR="008F5CF0" w:rsidRPr="008F5CF0">
        <w:rPr>
          <w:color w:val="000000" w:themeColor="text1"/>
          <w:szCs w:val="22"/>
        </w:rPr>
        <w:t xml:space="preserve">or </w:t>
      </w:r>
      <w:r w:rsidR="008F5CF0">
        <w:rPr>
          <w:color w:val="000000" w:themeColor="text1"/>
          <w:szCs w:val="22"/>
        </w:rPr>
        <w:t>d</w:t>
      </w:r>
      <w:r w:rsidR="008F5CF0" w:rsidRPr="008F5CF0">
        <w:rPr>
          <w:color w:val="000000" w:themeColor="text1"/>
          <w:szCs w:val="22"/>
        </w:rPr>
        <w:t>etermining G</w:t>
      </w:r>
      <w:r w:rsidR="008F5CF0">
        <w:rPr>
          <w:color w:val="000000" w:themeColor="text1"/>
          <w:szCs w:val="22"/>
        </w:rPr>
        <w:t>HG</w:t>
      </w:r>
      <w:r w:rsidR="008F5CF0" w:rsidRPr="008F5CF0">
        <w:rPr>
          <w:color w:val="000000" w:themeColor="text1"/>
          <w:szCs w:val="22"/>
        </w:rPr>
        <w:t xml:space="preserve"> </w:t>
      </w:r>
      <w:r w:rsidR="008F5CF0">
        <w:rPr>
          <w:color w:val="000000" w:themeColor="text1"/>
          <w:szCs w:val="22"/>
        </w:rPr>
        <w:t>f</w:t>
      </w:r>
      <w:r w:rsidR="008F5CF0" w:rsidRPr="008F5CF0">
        <w:rPr>
          <w:color w:val="000000" w:themeColor="text1"/>
          <w:szCs w:val="22"/>
        </w:rPr>
        <w:t xml:space="preserve">ees </w:t>
      </w:r>
      <w:r w:rsidR="0024019A">
        <w:rPr>
          <w:color w:val="000000" w:themeColor="text1"/>
          <w:szCs w:val="22"/>
        </w:rPr>
        <w:t xml:space="preserve">for different eligible fuels </w:t>
      </w:r>
      <w:r w:rsidR="00E62CC1">
        <w:rPr>
          <w:color w:val="000000" w:themeColor="text1"/>
          <w:szCs w:val="22"/>
        </w:rPr>
        <w:t xml:space="preserve">set out </w:t>
      </w:r>
      <w:r w:rsidR="00EB0ACE">
        <w:rPr>
          <w:color w:val="000000" w:themeColor="text1"/>
          <w:szCs w:val="22"/>
        </w:rPr>
        <w:t>in annex 2 of this document</w:t>
      </w:r>
      <w:r w:rsidR="00902EE2">
        <w:rPr>
          <w:color w:val="000000" w:themeColor="text1"/>
          <w:szCs w:val="22"/>
        </w:rPr>
        <w:t xml:space="preserve">. </w:t>
      </w:r>
    </w:p>
    <w:p w14:paraId="39C94629" w14:textId="77777777" w:rsidR="001F7296" w:rsidRDefault="001F7296" w:rsidP="00C345D6">
      <w:pPr>
        <w:rPr>
          <w:color w:val="000000" w:themeColor="text1"/>
          <w:szCs w:val="22"/>
        </w:rPr>
      </w:pPr>
    </w:p>
    <w:p w14:paraId="6E088FA4" w14:textId="51C1BDEB" w:rsidR="00E46F00" w:rsidRPr="00C345D6" w:rsidRDefault="00772CEA" w:rsidP="00C345D6">
      <w:r>
        <w:rPr>
          <w:color w:val="000000" w:themeColor="text1"/>
          <w:szCs w:val="22"/>
        </w:rPr>
        <w:t>3</w:t>
      </w:r>
      <w:r w:rsidR="00160E2A">
        <w:rPr>
          <w:color w:val="000000" w:themeColor="text1"/>
          <w:szCs w:val="22"/>
        </w:rPr>
        <w:t>1</w:t>
      </w:r>
      <w:r w:rsidR="001F7296">
        <w:rPr>
          <w:color w:val="000000" w:themeColor="text1"/>
          <w:szCs w:val="22"/>
        </w:rPr>
        <w:tab/>
      </w:r>
      <w:r w:rsidR="00902EE2">
        <w:rPr>
          <w:color w:val="000000" w:themeColor="text1"/>
          <w:szCs w:val="22"/>
        </w:rPr>
        <w:t>F</w:t>
      </w:r>
      <w:r w:rsidR="0037037D">
        <w:rPr>
          <w:color w:val="000000" w:themeColor="text1"/>
          <w:szCs w:val="22"/>
        </w:rPr>
        <w:t xml:space="preserve">ollowing the adoption of the </w:t>
      </w:r>
      <w:r w:rsidR="00ED24FD">
        <w:rPr>
          <w:color w:val="000000" w:themeColor="text1"/>
          <w:szCs w:val="22"/>
        </w:rPr>
        <w:t>amendments to MARPOL Annex VI</w:t>
      </w:r>
      <w:r w:rsidR="0037037D">
        <w:rPr>
          <w:color w:val="000000" w:themeColor="text1"/>
          <w:szCs w:val="22"/>
        </w:rPr>
        <w:t xml:space="preserve"> in 2025, further</w:t>
      </w:r>
      <w:r w:rsidR="00ED24FD">
        <w:rPr>
          <w:color w:val="000000" w:themeColor="text1"/>
          <w:szCs w:val="22"/>
        </w:rPr>
        <w:t xml:space="preserve"> </w:t>
      </w:r>
      <w:r w:rsidR="009A1A92">
        <w:rPr>
          <w:color w:val="000000" w:themeColor="text1"/>
          <w:szCs w:val="22"/>
        </w:rPr>
        <w:t>guidance for Member State</w:t>
      </w:r>
      <w:r w:rsidR="00ED24FD">
        <w:rPr>
          <w:color w:val="000000" w:themeColor="text1"/>
          <w:szCs w:val="22"/>
        </w:rPr>
        <w:t>s</w:t>
      </w:r>
      <w:r w:rsidR="009A1A92">
        <w:rPr>
          <w:color w:val="000000" w:themeColor="text1"/>
          <w:szCs w:val="22"/>
        </w:rPr>
        <w:t xml:space="preserve"> </w:t>
      </w:r>
      <w:r w:rsidR="00BD5DD7">
        <w:rPr>
          <w:color w:val="000000" w:themeColor="text1"/>
          <w:szCs w:val="22"/>
        </w:rPr>
        <w:t xml:space="preserve">on the prevention of double charging </w:t>
      </w:r>
      <w:r w:rsidR="009A1A92">
        <w:rPr>
          <w:color w:val="000000" w:themeColor="text1"/>
          <w:szCs w:val="22"/>
        </w:rPr>
        <w:t xml:space="preserve">will need to </w:t>
      </w:r>
      <w:r w:rsidR="0024019A">
        <w:rPr>
          <w:color w:val="000000" w:themeColor="text1"/>
          <w:szCs w:val="22"/>
        </w:rPr>
        <w:t xml:space="preserve">be </w:t>
      </w:r>
      <w:r w:rsidR="009A1A92">
        <w:rPr>
          <w:color w:val="000000" w:themeColor="text1"/>
          <w:szCs w:val="22"/>
        </w:rPr>
        <w:t xml:space="preserve">developed </w:t>
      </w:r>
      <w:r w:rsidR="00BD5DD7">
        <w:rPr>
          <w:color w:val="000000" w:themeColor="text1"/>
          <w:szCs w:val="22"/>
        </w:rPr>
        <w:t>by the Committee</w:t>
      </w:r>
      <w:r w:rsidR="00C554FF">
        <w:rPr>
          <w:color w:val="000000" w:themeColor="text1"/>
          <w:szCs w:val="22"/>
        </w:rPr>
        <w:t>,</w:t>
      </w:r>
      <w:r w:rsidR="00BD5DD7">
        <w:rPr>
          <w:color w:val="000000" w:themeColor="text1"/>
          <w:szCs w:val="22"/>
        </w:rPr>
        <w:t xml:space="preserve"> </w:t>
      </w:r>
      <w:r w:rsidR="009A1A92">
        <w:rPr>
          <w:color w:val="000000" w:themeColor="text1"/>
          <w:szCs w:val="22"/>
        </w:rPr>
        <w:t xml:space="preserve">prior to </w:t>
      </w:r>
      <w:r w:rsidR="00A46253">
        <w:rPr>
          <w:color w:val="000000" w:themeColor="text1"/>
          <w:szCs w:val="22"/>
        </w:rPr>
        <w:t>entry into force in 2027.</w:t>
      </w:r>
      <w:r w:rsidR="0037037D">
        <w:rPr>
          <w:color w:val="000000" w:themeColor="text1"/>
          <w:szCs w:val="22"/>
        </w:rPr>
        <w:t xml:space="preserve">  </w:t>
      </w:r>
    </w:p>
    <w:p w14:paraId="52CE9225" w14:textId="77777777" w:rsidR="00E46F00" w:rsidRDefault="00E46F00" w:rsidP="008E1682">
      <w:pPr>
        <w:tabs>
          <w:tab w:val="clear" w:pos="851"/>
        </w:tabs>
        <w:rPr>
          <w:b/>
          <w:bCs/>
        </w:rPr>
      </w:pPr>
    </w:p>
    <w:p w14:paraId="7372528A" w14:textId="7BC11220" w:rsidR="008E1682" w:rsidRPr="00D62881" w:rsidRDefault="008E1682" w:rsidP="008E1682">
      <w:pPr>
        <w:tabs>
          <w:tab w:val="clear" w:pos="851"/>
        </w:tabs>
        <w:rPr>
          <w:b/>
          <w:bCs/>
        </w:rPr>
      </w:pPr>
      <w:r w:rsidRPr="00D62881">
        <w:rPr>
          <w:b/>
          <w:bCs/>
        </w:rPr>
        <w:t xml:space="preserve">KEY POINTS WITH REGARD TO GOAL-BASED FUEL STANDARD, INCLUDING PROPOSED “GHG SURCHARGE FEE” </w:t>
      </w:r>
    </w:p>
    <w:p w14:paraId="03D57903" w14:textId="77777777" w:rsidR="008E1682" w:rsidRDefault="008E1682" w:rsidP="008E1682">
      <w:pPr>
        <w:tabs>
          <w:tab w:val="clear" w:pos="851"/>
        </w:tabs>
      </w:pPr>
    </w:p>
    <w:p w14:paraId="2F902BC0" w14:textId="77777777" w:rsidR="008E1682" w:rsidRPr="00D62881" w:rsidRDefault="008E1682" w:rsidP="008E1682">
      <w:pPr>
        <w:tabs>
          <w:tab w:val="clear" w:pos="851"/>
        </w:tabs>
        <w:rPr>
          <w:b/>
          <w:bCs/>
        </w:rPr>
      </w:pPr>
      <w:r w:rsidRPr="00D62881">
        <w:rPr>
          <w:b/>
          <w:bCs/>
        </w:rPr>
        <w:t xml:space="preserve">Preference for an absolute fuel standard </w:t>
      </w:r>
    </w:p>
    <w:p w14:paraId="48EB3F6A" w14:textId="77777777" w:rsidR="008E1682" w:rsidRDefault="008E1682" w:rsidP="008E1682">
      <w:pPr>
        <w:tabs>
          <w:tab w:val="clear" w:pos="851"/>
        </w:tabs>
      </w:pPr>
    </w:p>
    <w:p w14:paraId="03EC971C" w14:textId="2FE6AEAA" w:rsidR="008E1682" w:rsidRDefault="00CB3C8C" w:rsidP="008E1682">
      <w:pPr>
        <w:tabs>
          <w:tab w:val="clear" w:pos="851"/>
        </w:tabs>
      </w:pPr>
      <w:r>
        <w:t>3</w:t>
      </w:r>
      <w:r w:rsidR="00160E2A">
        <w:t>2</w:t>
      </w:r>
      <w:r w:rsidR="008E1682">
        <w:tab/>
        <w:t>In terms of the maximum permitted GHG intensity of marine fuels up until 2030, the co-sponsors advocate an</w:t>
      </w:r>
      <w:r w:rsidR="009D61BB">
        <w:t xml:space="preserve"> </w:t>
      </w:r>
      <w:r w:rsidR="008E1682" w:rsidRPr="001C1EAB">
        <w:rPr>
          <w:u w:val="single"/>
        </w:rPr>
        <w:t>absolute</w:t>
      </w:r>
      <w:r w:rsidR="008E1682">
        <w:t xml:space="preserve"> fuel standard</w:t>
      </w:r>
      <w:r w:rsidR="00181CFC">
        <w:t xml:space="preserve"> for GHG intensity</w:t>
      </w:r>
      <w:r w:rsidR="008E1682">
        <w:t xml:space="preserve"> – similar to the approach adopted for the IMO 2020 sulphur regulations. Compliance can be enforced by Bunker Delivery Notes checked by the flag State Administration and port State control, instead of requiring the GHG intensity of marine fuels used by ships to be reported and verified by flag States over an annual period.</w:t>
      </w:r>
    </w:p>
    <w:p w14:paraId="266DB93B" w14:textId="77777777" w:rsidR="008E1682" w:rsidRDefault="008E1682" w:rsidP="008E1682">
      <w:pPr>
        <w:tabs>
          <w:tab w:val="clear" w:pos="851"/>
        </w:tabs>
      </w:pPr>
    </w:p>
    <w:p w14:paraId="5A67DEC7" w14:textId="6AF8182C" w:rsidR="008E1682" w:rsidRDefault="008864E7" w:rsidP="008E1682">
      <w:pPr>
        <w:tabs>
          <w:tab w:val="clear" w:pos="851"/>
        </w:tabs>
      </w:pPr>
      <w:r>
        <w:t>3</w:t>
      </w:r>
      <w:r w:rsidR="00160E2A">
        <w:t>3</w:t>
      </w:r>
      <w:r w:rsidR="008E1682">
        <w:tab/>
        <w:t xml:space="preserve">The problem with use of an annual reporting period, during which the GFI of different fuels consumed by ships may vary, is that it may be very difficult for shipping companies, especially in bulk trades, or in trades between developing countries, to persuade charterers to pay for more expensive fuels that have a lower GFI, </w:t>
      </w:r>
      <w:r w:rsidR="00A47811">
        <w:t xml:space="preserve">unless </w:t>
      </w:r>
      <w:r w:rsidR="008E1682">
        <w:t xml:space="preserve">the Required GFI </w:t>
      </w:r>
      <w:r w:rsidR="00EB4354">
        <w:t xml:space="preserve">of the </w:t>
      </w:r>
      <w:r w:rsidR="008E1682">
        <w:t>fuel itself is</w:t>
      </w:r>
      <w:r w:rsidR="00EB4354">
        <w:t xml:space="preserve"> in effect </w:t>
      </w:r>
      <w:r w:rsidR="008E1682">
        <w:t>mandatory, as would be the case with an absolute fuel standard</w:t>
      </w:r>
      <w:r w:rsidR="002F226F">
        <w:t xml:space="preserve"> for GHG intensity</w:t>
      </w:r>
      <w:r w:rsidR="008E1682">
        <w:t>. This is why use of an absolute fuel standard for GHG intensity was supported by the International Bunker Industry Association (IBIA) in document ISWG-GHG 16/2.</w:t>
      </w:r>
    </w:p>
    <w:p w14:paraId="5DDA6A08" w14:textId="77777777" w:rsidR="008E1682" w:rsidRDefault="008E1682" w:rsidP="008E1682">
      <w:pPr>
        <w:tabs>
          <w:tab w:val="clear" w:pos="851"/>
        </w:tabs>
      </w:pPr>
    </w:p>
    <w:p w14:paraId="1F22AAC5" w14:textId="52E287FD" w:rsidR="008E1682" w:rsidRDefault="008864E7" w:rsidP="008E1682">
      <w:pPr>
        <w:tabs>
          <w:tab w:val="clear" w:pos="851"/>
        </w:tabs>
      </w:pPr>
      <w:r>
        <w:t>3</w:t>
      </w:r>
      <w:r w:rsidR="00160E2A">
        <w:t>4</w:t>
      </w:r>
      <w:r w:rsidR="008E1682">
        <w:tab/>
        <w:t xml:space="preserve">The co-sponsors suggest that initial use of an absolute fuel standard for GHG intensity would be more practical and appropriate during the initial years of implementation, up until when compliance by most ships will be achieved using biofuel blends which, if IMO were to agree to an absolute fuel standard, could </w:t>
      </w:r>
      <w:r w:rsidR="00A9350E">
        <w:t xml:space="preserve">all </w:t>
      </w:r>
      <w:r w:rsidR="008E1682">
        <w:t xml:space="preserve">be supplied </w:t>
      </w:r>
      <w:r w:rsidR="006A7268">
        <w:t xml:space="preserve">to ships globally </w:t>
      </w:r>
      <w:r w:rsidR="00A9350E">
        <w:t>below</w:t>
      </w:r>
      <w:r w:rsidR="008E1682">
        <w:t xml:space="preserve"> </w:t>
      </w:r>
      <w:r w:rsidR="006A7268">
        <w:t xml:space="preserve">the </w:t>
      </w:r>
      <w:r w:rsidR="008E1682">
        <w:t>m</w:t>
      </w:r>
      <w:r w:rsidR="000A6529">
        <w:t xml:space="preserve">aximum permitted </w:t>
      </w:r>
      <w:r w:rsidR="008E1682">
        <w:t>GHG intensity. As well as making implementation easier for shipping companies</w:t>
      </w:r>
      <w:r w:rsidR="00FD42D1">
        <w:t xml:space="preserve">, </w:t>
      </w:r>
      <w:r>
        <w:lastRenderedPageBreak/>
        <w:t>energy</w:t>
      </w:r>
      <w:r w:rsidR="003B676B">
        <w:t xml:space="preserve"> producers</w:t>
      </w:r>
      <w:r w:rsidR="008E1682">
        <w:t xml:space="preserve"> and the bunker supply industry, initial use of an absolute fuel standard </w:t>
      </w:r>
      <w:r w:rsidR="003B676B">
        <w:t xml:space="preserve">for GHG intensity </w:t>
      </w:r>
      <w:r w:rsidR="008E1682">
        <w:t xml:space="preserve">will also reduce the immediate administrative burden </w:t>
      </w:r>
      <w:r w:rsidR="00C24FC1">
        <w:t xml:space="preserve">for flag State Administrations, </w:t>
      </w:r>
      <w:r w:rsidR="0010083E">
        <w:t>not least</w:t>
      </w:r>
      <w:r w:rsidR="00C24FC1">
        <w:t xml:space="preserve"> </w:t>
      </w:r>
      <w:r w:rsidR="0010083E">
        <w:t xml:space="preserve">in </w:t>
      </w:r>
      <w:r w:rsidR="005C52C8">
        <w:t>developing countries</w:t>
      </w:r>
      <w:r w:rsidR="0010083E">
        <w:t>,</w:t>
      </w:r>
      <w:r w:rsidR="00C24FC1">
        <w:t xml:space="preserve"> </w:t>
      </w:r>
      <w:r w:rsidR="00A50EE7">
        <w:t>with respect to enforcement</w:t>
      </w:r>
      <w:r w:rsidR="0010083E">
        <w:t>.</w:t>
      </w:r>
      <w:r w:rsidR="00A50EE7">
        <w:t xml:space="preserve"> </w:t>
      </w:r>
      <w:r w:rsidR="008E1682">
        <w:t xml:space="preserve"> </w:t>
      </w:r>
    </w:p>
    <w:p w14:paraId="0FFE16B2" w14:textId="77777777" w:rsidR="008E1682" w:rsidRDefault="008E1682" w:rsidP="008E1682">
      <w:pPr>
        <w:tabs>
          <w:tab w:val="clear" w:pos="851"/>
        </w:tabs>
      </w:pPr>
    </w:p>
    <w:p w14:paraId="21B956F3" w14:textId="12411456" w:rsidR="008E1682" w:rsidRDefault="008864E7" w:rsidP="008E1682">
      <w:pPr>
        <w:tabs>
          <w:tab w:val="clear" w:pos="851"/>
        </w:tabs>
      </w:pPr>
      <w:r>
        <w:t>3</w:t>
      </w:r>
      <w:r w:rsidR="00160E2A">
        <w:t>5</w:t>
      </w:r>
      <w:r w:rsidR="008E1682">
        <w:tab/>
        <w:t xml:space="preserve">It is therefore suggested that </w:t>
      </w:r>
      <w:r w:rsidR="00561939">
        <w:t xml:space="preserve">an </w:t>
      </w:r>
      <w:r w:rsidR="0043160C">
        <w:t xml:space="preserve">absolute fuel standard for GHG intensity should be adopted </w:t>
      </w:r>
      <w:r w:rsidR="002A56D6">
        <w:t>in 2025</w:t>
      </w:r>
      <w:r w:rsidR="00FB32E0">
        <w:t>. C</w:t>
      </w:r>
      <w:r w:rsidR="004D354C">
        <w:t>onsideration by the Commit</w:t>
      </w:r>
      <w:r w:rsidR="00FB32E0">
        <w:t>t</w:t>
      </w:r>
      <w:r w:rsidR="004D354C">
        <w:t>ee</w:t>
      </w:r>
      <w:r w:rsidR="002A56D6">
        <w:t xml:space="preserve"> </w:t>
      </w:r>
      <w:r w:rsidR="00FB32E0">
        <w:t xml:space="preserve">of the </w:t>
      </w:r>
      <w:r w:rsidR="008E1682">
        <w:t xml:space="preserve">use of </w:t>
      </w:r>
      <w:r w:rsidR="00234BA6">
        <w:t xml:space="preserve">more complex </w:t>
      </w:r>
      <w:r w:rsidR="008E1682">
        <w:t xml:space="preserve">annual reporting and verification periods should be deferred until after the measure has been adopted, with a view to implementation after 2030 when aggressive reductions in GFI will be required and a larger number of ships will be using zero/near-zero GHG fuels. </w:t>
      </w:r>
    </w:p>
    <w:p w14:paraId="34135935" w14:textId="77777777" w:rsidR="00EB0196" w:rsidRDefault="00EB0196" w:rsidP="008E1682">
      <w:pPr>
        <w:tabs>
          <w:tab w:val="clear" w:pos="851"/>
        </w:tabs>
      </w:pPr>
    </w:p>
    <w:p w14:paraId="415455A3" w14:textId="6D463183" w:rsidR="008E1682" w:rsidRPr="00D62881" w:rsidRDefault="008E1682" w:rsidP="008E1682">
      <w:pPr>
        <w:tabs>
          <w:tab w:val="clear" w:pos="851"/>
        </w:tabs>
        <w:rPr>
          <w:b/>
          <w:bCs/>
        </w:rPr>
      </w:pPr>
      <w:r w:rsidRPr="00D62881">
        <w:rPr>
          <w:b/>
          <w:bCs/>
        </w:rPr>
        <w:t xml:space="preserve">GHG Surcharge Fee </w:t>
      </w:r>
    </w:p>
    <w:p w14:paraId="5B661ED6" w14:textId="77777777" w:rsidR="008E1682" w:rsidRDefault="008E1682" w:rsidP="008E1682">
      <w:pPr>
        <w:tabs>
          <w:tab w:val="clear" w:pos="851"/>
        </w:tabs>
      </w:pPr>
    </w:p>
    <w:p w14:paraId="77B9E2A9" w14:textId="3EA164FA" w:rsidR="008E1682" w:rsidRDefault="008E1682" w:rsidP="008E1682">
      <w:pPr>
        <w:tabs>
          <w:tab w:val="clear" w:pos="851"/>
        </w:tabs>
      </w:pPr>
      <w:r>
        <w:t>3</w:t>
      </w:r>
      <w:r w:rsidR="00160E2A">
        <w:t>6</w:t>
      </w:r>
      <w:r>
        <w:tab/>
        <w:t xml:space="preserve">Should the Committee decide to pursue a more complex approach for the fuel standard and for flexible compliance, the co-sponsors propose that ships should </w:t>
      </w:r>
      <w:r w:rsidR="006C0867">
        <w:t xml:space="preserve">have the option to </w:t>
      </w:r>
      <w:r>
        <w:t xml:space="preserve">pay an annual “GHG Surcharge Fee” (GSF) for the </w:t>
      </w:r>
      <w:r w:rsidRPr="001E3790">
        <w:rPr>
          <w:u w:val="single"/>
        </w:rPr>
        <w:t>CO</w:t>
      </w:r>
      <w:r w:rsidRPr="001E3790">
        <w:rPr>
          <w:u w:val="single"/>
          <w:vertAlign w:val="subscript"/>
        </w:rPr>
        <w:t>2</w:t>
      </w:r>
      <w:r w:rsidRPr="001E3790">
        <w:rPr>
          <w:u w:val="single"/>
        </w:rPr>
        <w:t>e emitted</w:t>
      </w:r>
      <w:r>
        <w:t xml:space="preserve"> due to under-compliance with the fuel standard, as it is the prevention of CO</w:t>
      </w:r>
      <w:r w:rsidRPr="00B82798">
        <w:rPr>
          <w:vertAlign w:val="subscript"/>
        </w:rPr>
        <w:t>2</w:t>
      </w:r>
      <w:r>
        <w:t>e emissions which is of key importance. As explained below, the fixed price of the GHG Surcharge Fee can be linked to the fixed price of CO</w:t>
      </w:r>
      <w:r w:rsidRPr="00B82798">
        <w:rPr>
          <w:vertAlign w:val="subscript"/>
        </w:rPr>
        <w:t>2</w:t>
      </w:r>
      <w:r>
        <w:t>e emissions agreed for the maritime GHG emissions pricing mechanism. The term “surcharge” is already a familiar term in commercial shipping.</w:t>
      </w:r>
    </w:p>
    <w:p w14:paraId="31397551" w14:textId="77777777" w:rsidR="008E1682" w:rsidRDefault="008E1682" w:rsidP="008E1682">
      <w:pPr>
        <w:tabs>
          <w:tab w:val="clear" w:pos="851"/>
        </w:tabs>
      </w:pPr>
    </w:p>
    <w:p w14:paraId="04566B16" w14:textId="137F3496" w:rsidR="008E1682" w:rsidRDefault="008E1682" w:rsidP="008E1682">
      <w:pPr>
        <w:tabs>
          <w:tab w:val="clear" w:pos="851"/>
        </w:tabs>
      </w:pPr>
      <w:r>
        <w:t>3</w:t>
      </w:r>
      <w:r w:rsidR="00160E2A">
        <w:t>7</w:t>
      </w:r>
      <w:r>
        <w:tab/>
        <w:t>As well as integrating the technical and economic elements of the IMO Net Zero Framework, the fixed price of the GHG Surcharge Fee will provide certainty and be simpler to administer and implement than an overly complex system under which ships would be required to trade ‘flexible compliance units’,</w:t>
      </w:r>
      <w:r w:rsidR="00525640">
        <w:t xml:space="preserve"> </w:t>
      </w:r>
      <w:r>
        <w:t>the price of which would be volatile, variable and determined by the market.</w:t>
      </w:r>
    </w:p>
    <w:p w14:paraId="0256E97D" w14:textId="77777777" w:rsidR="008E1682" w:rsidRDefault="008E1682" w:rsidP="008E1682">
      <w:pPr>
        <w:tabs>
          <w:tab w:val="clear" w:pos="851"/>
        </w:tabs>
      </w:pPr>
    </w:p>
    <w:p w14:paraId="5B480041" w14:textId="030E020C" w:rsidR="008E1682" w:rsidRDefault="008E1682" w:rsidP="008E1682">
      <w:pPr>
        <w:tabs>
          <w:tab w:val="clear" w:pos="851"/>
        </w:tabs>
      </w:pPr>
      <w:r>
        <w:t>3</w:t>
      </w:r>
      <w:r w:rsidR="00160E2A">
        <w:t>8</w:t>
      </w:r>
      <w:r>
        <w:t xml:space="preserve"> </w:t>
      </w:r>
      <w:r>
        <w:tab/>
        <w:t xml:space="preserve">As set out in annex 1 of the document, under proposed regulation 36 – </w:t>
      </w:r>
      <w:r w:rsidRPr="00D003CC">
        <w:rPr>
          <w:i/>
          <w:iCs/>
        </w:rPr>
        <w:t>Alternative compliance by a ship</w:t>
      </w:r>
      <w:r>
        <w:t xml:space="preserve">, </w:t>
      </w:r>
      <w:r w:rsidR="004E6036">
        <w:t>whilst ships would have the option of paying the GHG Surcharge Fee for under</w:t>
      </w:r>
      <w:r w:rsidR="00024CC5">
        <w:t>-</w:t>
      </w:r>
      <w:r w:rsidR="004E6036">
        <w:t xml:space="preserve">compliance with the fuel standard, they </w:t>
      </w:r>
      <w:r>
        <w:t xml:space="preserve">would </w:t>
      </w:r>
      <w:r w:rsidRPr="001E3790">
        <w:rPr>
          <w:u w:val="single"/>
        </w:rPr>
        <w:t>not</w:t>
      </w:r>
      <w:r>
        <w:t xml:space="preserve"> be reward</w:t>
      </w:r>
      <w:r w:rsidR="00760C79">
        <w:t xml:space="preserve">ed </w:t>
      </w:r>
      <w:r w:rsidR="00B81660">
        <w:t xml:space="preserve">financially </w:t>
      </w:r>
      <w:r>
        <w:t xml:space="preserve">for over-compliance with the Required GFI.  </w:t>
      </w:r>
      <w:r w:rsidR="0063356E">
        <w:t xml:space="preserve">This is because </w:t>
      </w:r>
      <w:r w:rsidR="007E12AD">
        <w:t xml:space="preserve">it would be inappropriate to reward use of fuels which, although they might </w:t>
      </w:r>
      <w:r w:rsidR="00043BE5">
        <w:t>‘</w:t>
      </w:r>
      <w:r w:rsidR="007E12AD">
        <w:t>over-comply</w:t>
      </w:r>
      <w:r w:rsidR="00043BE5">
        <w:t>’</w:t>
      </w:r>
      <w:r w:rsidR="007E12AD">
        <w:t xml:space="preserve"> with the fuel standard agreed for up until 2030, would </w:t>
      </w:r>
      <w:r w:rsidR="007C279A">
        <w:t xml:space="preserve">in most cases </w:t>
      </w:r>
      <w:r w:rsidR="007E12AD">
        <w:t>not be those zero/near-zero GHG fuels whose accelerated production and uptake urgently needs to be incentivized to meet the goals in the IMO 2023 GHG Strategy which have been agreed for 2040 and 2050.</w:t>
      </w:r>
      <w:r w:rsidR="0063356E">
        <w:t xml:space="preserve"> </w:t>
      </w:r>
      <w:r>
        <w:t>Wh</w:t>
      </w:r>
      <w:r w:rsidR="00333666">
        <w:t>ilst</w:t>
      </w:r>
      <w:r>
        <w:t xml:space="preserve"> </w:t>
      </w:r>
      <w:r w:rsidR="0063356E">
        <w:t xml:space="preserve">any </w:t>
      </w:r>
      <w:r w:rsidR="00AC727C">
        <w:t>‘</w:t>
      </w:r>
      <w:r>
        <w:t>excess</w:t>
      </w:r>
      <w:r w:rsidR="00AC727C">
        <w:t>’</w:t>
      </w:r>
      <w:r>
        <w:t xml:space="preserve"> reductions in Required GFI achieved by the use of fuels which </w:t>
      </w:r>
      <w:r w:rsidR="00BB0BB9">
        <w:t>‘</w:t>
      </w:r>
      <w:r>
        <w:t>over</w:t>
      </w:r>
      <w:r w:rsidR="0014330A">
        <w:t>-</w:t>
      </w:r>
      <w:r>
        <w:t>comply</w:t>
      </w:r>
      <w:r w:rsidR="0014330A">
        <w:t>’</w:t>
      </w:r>
      <w:r>
        <w:t xml:space="preserve"> with the fuel standard might be ‘carried over’ to help compliance by a ship during the following </w:t>
      </w:r>
      <w:r w:rsidR="00E43FD1">
        <w:t xml:space="preserve">calendar </w:t>
      </w:r>
      <w:r>
        <w:t xml:space="preserve">year, </w:t>
      </w:r>
      <w:r w:rsidR="006351CD">
        <w:t xml:space="preserve">and companies </w:t>
      </w:r>
      <w:r w:rsidR="00384CFD">
        <w:t xml:space="preserve">with ships </w:t>
      </w:r>
      <w:r w:rsidR="007B4CC1">
        <w:t xml:space="preserve">which </w:t>
      </w:r>
      <w:r w:rsidR="000E08F6">
        <w:t>‘</w:t>
      </w:r>
      <w:r w:rsidR="007B4CC1">
        <w:t>over-comply</w:t>
      </w:r>
      <w:r w:rsidR="000E08F6">
        <w:t>’</w:t>
      </w:r>
      <w:r w:rsidR="007B4CC1">
        <w:t xml:space="preserve"> </w:t>
      </w:r>
      <w:r w:rsidR="006351CD">
        <w:t xml:space="preserve">may </w:t>
      </w:r>
      <w:r w:rsidR="000F0F32">
        <w:t xml:space="preserve">also </w:t>
      </w:r>
      <w:r w:rsidR="006351CD">
        <w:t xml:space="preserve">benefit </w:t>
      </w:r>
      <w:r w:rsidR="007B4CC1">
        <w:t>from private arrang</w:t>
      </w:r>
      <w:r w:rsidR="00C93751">
        <w:t>ements under a pool</w:t>
      </w:r>
      <w:r w:rsidR="00632F9E">
        <w:t xml:space="preserve">ed compliance mechanism </w:t>
      </w:r>
      <w:r w:rsidR="00C93751">
        <w:t>(see below)</w:t>
      </w:r>
      <w:r w:rsidR="008C45F8">
        <w:t>,</w:t>
      </w:r>
      <w:r w:rsidR="007B4CC1">
        <w:t xml:space="preserve"> </w:t>
      </w:r>
      <w:r>
        <w:t xml:space="preserve">there is no need </w:t>
      </w:r>
      <w:r w:rsidR="00033E14">
        <w:t xml:space="preserve">for the regulations </w:t>
      </w:r>
      <w:r w:rsidR="00055D75">
        <w:t xml:space="preserve">to </w:t>
      </w:r>
      <w:r w:rsidR="00646E02">
        <w:t xml:space="preserve">directly </w:t>
      </w:r>
      <w:r w:rsidR="00A504DB">
        <w:t xml:space="preserve">provide </w:t>
      </w:r>
      <w:r w:rsidR="00021927">
        <w:t>reward</w:t>
      </w:r>
      <w:r w:rsidR="00A504DB">
        <w:t>s</w:t>
      </w:r>
      <w:r w:rsidR="00021927">
        <w:t xml:space="preserve"> </w:t>
      </w:r>
      <w:r w:rsidR="00A504DB">
        <w:t xml:space="preserve">to </w:t>
      </w:r>
      <w:r w:rsidR="001B6731">
        <w:t xml:space="preserve">ships </w:t>
      </w:r>
      <w:r>
        <w:t xml:space="preserve">for over-compliance with the fuel standard. This is because far greater incentives for use of zero/near-zero GHG fuels will be provided by feebates (rewards) as part of the </w:t>
      </w:r>
      <w:r w:rsidR="0024019A">
        <w:t>distinct</w:t>
      </w:r>
      <w:r>
        <w:t xml:space="preserve"> maritime GHG emissions pricing mechanism, to which </w:t>
      </w:r>
      <w:r w:rsidR="00D66AB7">
        <w:t xml:space="preserve">the proposed </w:t>
      </w:r>
      <w:r>
        <w:t xml:space="preserve">GHG Surcharge Fees can be linked. </w:t>
      </w:r>
    </w:p>
    <w:p w14:paraId="743E9F05" w14:textId="77777777" w:rsidR="008E1682" w:rsidRDefault="008E1682" w:rsidP="008E1682">
      <w:pPr>
        <w:tabs>
          <w:tab w:val="clear" w:pos="851"/>
        </w:tabs>
      </w:pPr>
    </w:p>
    <w:p w14:paraId="216778C1" w14:textId="156D7D0F" w:rsidR="008E1682" w:rsidRDefault="008E1682" w:rsidP="008E1682">
      <w:pPr>
        <w:tabs>
          <w:tab w:val="clear" w:pos="851"/>
        </w:tabs>
      </w:pPr>
      <w:r>
        <w:t>3</w:t>
      </w:r>
      <w:r w:rsidR="00160E2A">
        <w:t>9</w:t>
      </w:r>
      <w:r>
        <w:tab/>
        <w:t>As explained below, as part of an IMO Net Zero Framework which integrates technical and economic elements, the co-sponsors propose that the calculation and collection of this GHG Surcharge Fee will take place via the (fully automated) maritime GHG emissions pricing mechanism, using verified data for use with the DCS, submitted to the mechanism by the ship at the same time as other data on fuel consumption/CO</w:t>
      </w:r>
      <w:r w:rsidRPr="00B82798">
        <w:rPr>
          <w:vertAlign w:val="subscript"/>
        </w:rPr>
        <w:t>2</w:t>
      </w:r>
      <w:r>
        <w:t xml:space="preserve">e emissions. The GHG fee and any GHG Surcharge Fee for under-compliance with the fuel standard </w:t>
      </w:r>
      <w:r w:rsidR="003D33D4">
        <w:t>can be</w:t>
      </w:r>
      <w:r>
        <w:t xml:space="preserve"> calculated and collected at the same </w:t>
      </w:r>
      <w:r w:rsidR="006D7447">
        <w:t>time and</w:t>
      </w:r>
      <w:r>
        <w:t xml:space="preserve"> enforced using the same Statement of Compliance (SoC) issued by the Administration at the end of the process. As well as maintaining records of all GHG fees transmitted by ships, including any additional GHG Surcharge Fees (each ship will have an account with the </w:t>
      </w:r>
      <w:r w:rsidR="004E1CBE">
        <w:t>“</w:t>
      </w:r>
      <w:r>
        <w:t>mechanism</w:t>
      </w:r>
      <w:r w:rsidR="004E1CBE">
        <w:t>”</w:t>
      </w:r>
      <w:r>
        <w:t xml:space="preserve"> linked to its IMO number), the </w:t>
      </w:r>
      <w:r w:rsidR="00E6604F">
        <w:t>automated “</w:t>
      </w:r>
      <w:r>
        <w:t>mechanism</w:t>
      </w:r>
      <w:r w:rsidR="00E6604F">
        <w:t>”</w:t>
      </w:r>
      <w:r>
        <w:t xml:space="preserve"> </w:t>
      </w:r>
      <w:r>
        <w:lastRenderedPageBreak/>
        <w:t>will hold records for every ship of the fuel consumption/CO</w:t>
      </w:r>
      <w:r w:rsidRPr="00B82798">
        <w:rPr>
          <w:vertAlign w:val="subscript"/>
        </w:rPr>
        <w:t>2</w:t>
      </w:r>
      <w:r>
        <w:t>e emissions data used to calculate these GHG fees, including any CO</w:t>
      </w:r>
      <w:r w:rsidRPr="00B82798">
        <w:rPr>
          <w:vertAlign w:val="subscript"/>
        </w:rPr>
        <w:t>2</w:t>
      </w:r>
      <w:r>
        <w:t xml:space="preserve">e emitted due to under-compliance with the fuel standard. </w:t>
      </w:r>
    </w:p>
    <w:p w14:paraId="19905A5C" w14:textId="77777777" w:rsidR="008E1682" w:rsidRDefault="008E1682" w:rsidP="008E1682">
      <w:pPr>
        <w:tabs>
          <w:tab w:val="clear" w:pos="851"/>
        </w:tabs>
      </w:pPr>
    </w:p>
    <w:p w14:paraId="51E73185" w14:textId="3E7D8FAF" w:rsidR="008E1682" w:rsidRDefault="00160E2A" w:rsidP="008E1682">
      <w:pPr>
        <w:tabs>
          <w:tab w:val="clear" w:pos="851"/>
        </w:tabs>
      </w:pPr>
      <w:r>
        <w:t>40</w:t>
      </w:r>
      <w:r w:rsidR="008E1682">
        <w:tab/>
        <w:t xml:space="preserve">The provision of a fixed GHG Surcharge Fee for under-compliance – as opposed to a fuel standard with complex trading elements – </w:t>
      </w:r>
      <w:r w:rsidR="008E1682" w:rsidRPr="00692FA1">
        <w:rPr>
          <w:u w:val="single"/>
        </w:rPr>
        <w:t xml:space="preserve">therefore has the </w:t>
      </w:r>
      <w:r w:rsidR="007537A0">
        <w:rPr>
          <w:u w:val="single"/>
        </w:rPr>
        <w:t>significant</w:t>
      </w:r>
      <w:r w:rsidR="007537A0" w:rsidRPr="00692FA1">
        <w:rPr>
          <w:u w:val="single"/>
        </w:rPr>
        <w:t xml:space="preserve"> </w:t>
      </w:r>
      <w:r w:rsidR="008E1682" w:rsidRPr="00692FA1">
        <w:rPr>
          <w:u w:val="single"/>
        </w:rPr>
        <w:t>advantage of removing any need for the Organization to establish a separate GFI registry</w:t>
      </w:r>
      <w:r w:rsidR="008E1682">
        <w:t xml:space="preserve"> in addition to the GHG emissions pricing mechanism</w:t>
      </w:r>
      <w:r w:rsidR="00162384">
        <w:t xml:space="preserve"> </w:t>
      </w:r>
      <w:r w:rsidR="008E1682">
        <w:t xml:space="preserve">for which a working web-based prototype of a fully automated </w:t>
      </w:r>
      <w:r w:rsidR="002611C5">
        <w:t>“</w:t>
      </w:r>
      <w:r w:rsidR="008E1682">
        <w:t>mechanism</w:t>
      </w:r>
      <w:r w:rsidR="002611C5">
        <w:t>”</w:t>
      </w:r>
      <w:r w:rsidR="008E1682">
        <w:t xml:space="preserve"> has already been developed, as set out in document ISWG-GHG 16/2/1 (ICS).  A provision for a separate GFI registry (as suggested in the ‘illustrative’ template developed at MEPC 81) has therefore not been included by the co-sponsors in annex 1 of this document. </w:t>
      </w:r>
    </w:p>
    <w:p w14:paraId="2D639AB4" w14:textId="77777777" w:rsidR="008E1682" w:rsidRDefault="008E1682" w:rsidP="008E1682">
      <w:pPr>
        <w:tabs>
          <w:tab w:val="clear" w:pos="851"/>
        </w:tabs>
      </w:pPr>
    </w:p>
    <w:p w14:paraId="6132A7A2" w14:textId="27ABE179" w:rsidR="008E1682" w:rsidRDefault="00160E2A" w:rsidP="008E1682">
      <w:pPr>
        <w:tabs>
          <w:tab w:val="clear" w:pos="851"/>
        </w:tabs>
      </w:pPr>
      <w:r>
        <w:t>41</w:t>
      </w:r>
      <w:r w:rsidR="008E1682">
        <w:tab/>
        <w:t>The fixed rate of the GHG Surcharge Fees could be used for addressing under-compliance with either an absolute fuel standard</w:t>
      </w:r>
      <w:r w:rsidR="00C6432A">
        <w:t xml:space="preserve"> for GHG intensity</w:t>
      </w:r>
      <w:r w:rsidR="00E259A7">
        <w:t xml:space="preserve"> (</w:t>
      </w:r>
      <w:r w:rsidR="008E1682">
        <w:t>as preferred by the co-sponsors</w:t>
      </w:r>
      <w:r w:rsidR="00E259A7">
        <w:t>)</w:t>
      </w:r>
      <w:r w:rsidR="008E1682">
        <w:t xml:space="preserve"> or, if so decided, a more complex enforcement mechanism using an annual reporting and verification period.</w:t>
      </w:r>
    </w:p>
    <w:p w14:paraId="6F55CD30" w14:textId="77777777" w:rsidR="008E1682" w:rsidRDefault="008E1682" w:rsidP="008E1682">
      <w:pPr>
        <w:tabs>
          <w:tab w:val="clear" w:pos="851"/>
        </w:tabs>
      </w:pPr>
    </w:p>
    <w:p w14:paraId="49AD9463" w14:textId="3014EE42" w:rsidR="008E1682" w:rsidRDefault="00CB3C8C" w:rsidP="008E1682">
      <w:pPr>
        <w:tabs>
          <w:tab w:val="clear" w:pos="851"/>
        </w:tabs>
      </w:pPr>
      <w:r>
        <w:t>4</w:t>
      </w:r>
      <w:r w:rsidR="00160E2A">
        <w:t>2</w:t>
      </w:r>
      <w:r w:rsidR="008E1682">
        <w:t xml:space="preserve"> </w:t>
      </w:r>
      <w:r w:rsidR="008E1682">
        <w:tab/>
        <w:t xml:space="preserve">As explained above, use of a GHG Surcharge Fee will allow the Required GFI of a particular fuel to be calculated on a WTW basis, as no charges would apply to upstream emissions that result from under-compliance with the Required GFI by a ship. As the GHG Surcharge Fee would be linked to the GHG fee mandated by the </w:t>
      </w:r>
      <w:r w:rsidR="0024019A">
        <w:t>distinct</w:t>
      </w:r>
      <w:r w:rsidR="008E1682">
        <w:t xml:space="preserve"> maritime GHG emissions pricing mechanism, this would (as set out in the proposed Guidelines in </w:t>
      </w:r>
      <w:r w:rsidR="00853F53">
        <w:t>a</w:t>
      </w:r>
      <w:r w:rsidR="008E1682">
        <w:t xml:space="preserve">nnex 2 of this document) be based on the lower of the TTW </w:t>
      </w:r>
      <w:r w:rsidR="00365F17">
        <w:t xml:space="preserve">or </w:t>
      </w:r>
      <w:r w:rsidR="008E1682">
        <w:t>WTW CO</w:t>
      </w:r>
      <w:r w:rsidR="008E1682" w:rsidRPr="00D62881">
        <w:rPr>
          <w:vertAlign w:val="subscript"/>
        </w:rPr>
        <w:t>2</w:t>
      </w:r>
      <w:r w:rsidR="008E1682">
        <w:t>e conversion factors for under-compliant fuels, as determined by the LCA Guidelines</w:t>
      </w:r>
      <w:r w:rsidR="00497815">
        <w:t>.</w:t>
      </w:r>
    </w:p>
    <w:p w14:paraId="7DA5B86B" w14:textId="77777777" w:rsidR="00D62881" w:rsidRDefault="00D62881" w:rsidP="008E1682">
      <w:pPr>
        <w:tabs>
          <w:tab w:val="clear" w:pos="851"/>
        </w:tabs>
      </w:pPr>
    </w:p>
    <w:p w14:paraId="23226DD0" w14:textId="05C0E85F" w:rsidR="008E1682" w:rsidRPr="00D62881" w:rsidRDefault="008E1682" w:rsidP="008E1682">
      <w:pPr>
        <w:tabs>
          <w:tab w:val="clear" w:pos="851"/>
        </w:tabs>
        <w:rPr>
          <w:b/>
          <w:bCs/>
        </w:rPr>
      </w:pPr>
      <w:r w:rsidRPr="00D62881">
        <w:rPr>
          <w:b/>
          <w:bCs/>
        </w:rPr>
        <w:t xml:space="preserve">Energy </w:t>
      </w:r>
      <w:r w:rsidR="00D62881">
        <w:rPr>
          <w:b/>
          <w:bCs/>
        </w:rPr>
        <w:t>p</w:t>
      </w:r>
      <w:r w:rsidRPr="00D62881">
        <w:rPr>
          <w:b/>
          <w:bCs/>
        </w:rPr>
        <w:t xml:space="preserve">ooling </w:t>
      </w:r>
      <w:r w:rsidR="00D62881">
        <w:rPr>
          <w:b/>
          <w:bCs/>
        </w:rPr>
        <w:t>c</w:t>
      </w:r>
      <w:r w:rsidRPr="00D62881">
        <w:rPr>
          <w:b/>
          <w:bCs/>
        </w:rPr>
        <w:t xml:space="preserve">ompliance </w:t>
      </w:r>
      <w:r w:rsidR="00D62881">
        <w:rPr>
          <w:b/>
          <w:bCs/>
        </w:rPr>
        <w:t>m</w:t>
      </w:r>
      <w:r w:rsidRPr="00D62881">
        <w:rPr>
          <w:b/>
          <w:bCs/>
        </w:rPr>
        <w:t xml:space="preserve">echanism for </w:t>
      </w:r>
      <w:r w:rsidR="00D62881">
        <w:rPr>
          <w:b/>
          <w:bCs/>
        </w:rPr>
        <w:t>s</w:t>
      </w:r>
      <w:r w:rsidRPr="00D62881">
        <w:rPr>
          <w:b/>
          <w:bCs/>
        </w:rPr>
        <w:t>hips</w:t>
      </w:r>
    </w:p>
    <w:p w14:paraId="7ADB81DA" w14:textId="77777777" w:rsidR="008E1682" w:rsidRDefault="008E1682" w:rsidP="008E1682">
      <w:pPr>
        <w:tabs>
          <w:tab w:val="clear" w:pos="851"/>
        </w:tabs>
      </w:pPr>
    </w:p>
    <w:p w14:paraId="5211785D" w14:textId="5FA9DE43" w:rsidR="008E1682" w:rsidRDefault="008864E7" w:rsidP="008E1682">
      <w:pPr>
        <w:tabs>
          <w:tab w:val="clear" w:pos="851"/>
        </w:tabs>
      </w:pPr>
      <w:r>
        <w:t>4</w:t>
      </w:r>
      <w:r w:rsidR="00160E2A">
        <w:t>3</w:t>
      </w:r>
      <w:r w:rsidR="008E1682">
        <w:tab/>
        <w:t>Under draft regulation 3</w:t>
      </w:r>
      <w:r w:rsidR="00C029E0">
        <w:t>7</w:t>
      </w:r>
      <w:r w:rsidR="008E1682">
        <w:t xml:space="preserve"> – </w:t>
      </w:r>
      <w:r w:rsidR="008E1682" w:rsidRPr="001E3790">
        <w:rPr>
          <w:i/>
          <w:iCs/>
        </w:rPr>
        <w:t xml:space="preserve">Energy </w:t>
      </w:r>
      <w:r w:rsidR="001E3790" w:rsidRPr="001E3790">
        <w:rPr>
          <w:i/>
          <w:iCs/>
        </w:rPr>
        <w:t>p</w:t>
      </w:r>
      <w:r w:rsidR="008E1682" w:rsidRPr="001E3790">
        <w:rPr>
          <w:i/>
          <w:iCs/>
        </w:rPr>
        <w:t xml:space="preserve">ooling </w:t>
      </w:r>
      <w:r w:rsidR="001E3790" w:rsidRPr="001E3790">
        <w:rPr>
          <w:i/>
          <w:iCs/>
        </w:rPr>
        <w:t>c</w:t>
      </w:r>
      <w:r w:rsidR="008E1682" w:rsidRPr="001E3790">
        <w:rPr>
          <w:i/>
          <w:iCs/>
        </w:rPr>
        <w:t xml:space="preserve">ompliance </w:t>
      </w:r>
      <w:r w:rsidR="001E3790" w:rsidRPr="001E3790">
        <w:rPr>
          <w:i/>
          <w:iCs/>
        </w:rPr>
        <w:t>m</w:t>
      </w:r>
      <w:r w:rsidR="008E1682" w:rsidRPr="001E3790">
        <w:rPr>
          <w:i/>
          <w:iCs/>
        </w:rPr>
        <w:t xml:space="preserve">echanism for </w:t>
      </w:r>
      <w:r w:rsidR="001E3790" w:rsidRPr="001E3790">
        <w:rPr>
          <w:i/>
          <w:iCs/>
        </w:rPr>
        <w:t>s</w:t>
      </w:r>
      <w:r w:rsidR="008E1682" w:rsidRPr="001E3790">
        <w:rPr>
          <w:i/>
          <w:iCs/>
        </w:rPr>
        <w:t>hips</w:t>
      </w:r>
      <w:r w:rsidR="008E1682">
        <w:t>, as set out in annex 1 of this document, if compliant fuels are not available, and as an alternative to paying the proposed GHG Surcharge Fee, ships would also have the option of using a simple pooled compliance system – the operation of which is explained in document ISWG-GHG 16/2 (ICS and IBIA).</w:t>
      </w:r>
    </w:p>
    <w:p w14:paraId="03435E7B" w14:textId="77777777" w:rsidR="008E1682" w:rsidRDefault="008E1682" w:rsidP="008E1682">
      <w:pPr>
        <w:tabs>
          <w:tab w:val="clear" w:pos="851"/>
        </w:tabs>
      </w:pPr>
    </w:p>
    <w:p w14:paraId="4A8C4E3A" w14:textId="45C1A29B" w:rsidR="008E1682" w:rsidRDefault="008864E7" w:rsidP="008E1682">
      <w:pPr>
        <w:tabs>
          <w:tab w:val="clear" w:pos="851"/>
        </w:tabs>
      </w:pPr>
      <w:r>
        <w:t>4</w:t>
      </w:r>
      <w:r w:rsidR="00160E2A">
        <w:t>4</w:t>
      </w:r>
      <w:r w:rsidR="008E1682">
        <w:t xml:space="preserve"> </w:t>
      </w:r>
      <w:r w:rsidR="008E1682">
        <w:tab/>
        <w:t xml:space="preserve">In summary, the proposed regulation would permit shipping companies, with all sizes of fleet, to share their ability to comply with the fuel standard should fuels of the required GHG intensity not always be available to individual ships in sufficient quantities. The mechanism would permit a ship, or ships, which </w:t>
      </w:r>
      <w:r w:rsidR="008900F7">
        <w:t>‘</w:t>
      </w:r>
      <w:r w:rsidR="008E1682">
        <w:t>over-comply</w:t>
      </w:r>
      <w:r w:rsidR="00922F4B">
        <w:t>’</w:t>
      </w:r>
      <w:r w:rsidR="008E1682">
        <w:t xml:space="preserve"> with the required GFI – operated by the same or different companies and registered with one or more flag States – to share the "excess" required GFI with another ship or ships in the "pool" that may be unable to comply fully with the requirement.  When pooling the GFI with ships in other companies' fleets, this would be done through a private commercial arrangement, such arrangements being common, for example, in the P&amp;I insurance of ships. The approach used for verification and certification of compliance by ships in an approved "energy pooling compliance mechanism" would be similar to that used under the ISM Code. </w:t>
      </w:r>
    </w:p>
    <w:p w14:paraId="03A1F419" w14:textId="77777777" w:rsidR="008E1682" w:rsidRDefault="008E1682" w:rsidP="008E1682">
      <w:pPr>
        <w:tabs>
          <w:tab w:val="clear" w:pos="851"/>
        </w:tabs>
      </w:pPr>
    </w:p>
    <w:p w14:paraId="55C336B7" w14:textId="17E87C75" w:rsidR="00157787" w:rsidRDefault="008864E7" w:rsidP="008E1682">
      <w:pPr>
        <w:tabs>
          <w:tab w:val="clear" w:pos="851"/>
        </w:tabs>
      </w:pPr>
      <w:r>
        <w:t>4</w:t>
      </w:r>
      <w:r w:rsidR="00160E2A">
        <w:t>5</w:t>
      </w:r>
      <w:r w:rsidR="008E1682">
        <w:t xml:space="preserve"> </w:t>
      </w:r>
      <w:r w:rsidR="008E1682">
        <w:tab/>
        <w:t xml:space="preserve">The "energy pooling compliance mechanism" will provide the same flexibility as other proposals to enable compliance should fuels of the required GHG intensity not always be available. However, it would avoid the need for a complex system where </w:t>
      </w:r>
      <w:r w:rsidR="00EF13A2">
        <w:t>‘</w:t>
      </w:r>
      <w:r w:rsidR="008E1682">
        <w:t>compliance units</w:t>
      </w:r>
      <w:r w:rsidR="00EF13A2">
        <w:t>’</w:t>
      </w:r>
      <w:r w:rsidR="008E1682">
        <w:t xml:space="preserve"> and </w:t>
      </w:r>
      <w:r w:rsidR="00EF13A2">
        <w:t>‘</w:t>
      </w:r>
      <w:r w:rsidR="008E1682">
        <w:t>remedial units</w:t>
      </w:r>
      <w:r w:rsidR="00EF13A2">
        <w:t>’</w:t>
      </w:r>
      <w:r w:rsidR="008E1682">
        <w:t xml:space="preserve"> are traded and reported to, or purchased from, a central IMO registry. This would avoid the considerable administrative burden for the Organization, flag States and ships entailed by an overly complex system. A pooled compliance mechanism will also make adoption and global implementation of a fuel standard more likely to be practically feasible by 2027, as called for by the 2023 IMO GHG Strategy.</w:t>
      </w:r>
    </w:p>
    <w:p w14:paraId="36D8D87E" w14:textId="5E0A8CAA" w:rsidR="008E1682" w:rsidRPr="00534D36" w:rsidRDefault="008E1682" w:rsidP="008E1682">
      <w:pPr>
        <w:tabs>
          <w:tab w:val="clear" w:pos="851"/>
        </w:tabs>
      </w:pPr>
      <w:r w:rsidRPr="00D62881">
        <w:rPr>
          <w:b/>
          <w:bCs/>
        </w:rPr>
        <w:lastRenderedPageBreak/>
        <w:t>Required GFI reductions</w:t>
      </w:r>
    </w:p>
    <w:p w14:paraId="37F638A2" w14:textId="77777777" w:rsidR="008E1682" w:rsidRDefault="008E1682" w:rsidP="008E1682">
      <w:pPr>
        <w:tabs>
          <w:tab w:val="clear" w:pos="851"/>
        </w:tabs>
      </w:pPr>
    </w:p>
    <w:p w14:paraId="7BE7770A" w14:textId="700A3AA5" w:rsidR="008E1682" w:rsidRDefault="008E1682" w:rsidP="008E1682">
      <w:pPr>
        <w:tabs>
          <w:tab w:val="clear" w:pos="851"/>
        </w:tabs>
      </w:pPr>
      <w:r>
        <w:t>4</w:t>
      </w:r>
      <w:r w:rsidR="00CF68BF">
        <w:t>6</w:t>
      </w:r>
      <w:r>
        <w:tab/>
        <w:t xml:space="preserve">With regard to the proposed regulations mandating reductions in required GFI, as set out in annex 1 of this document, the co-sponsors suggest that GFI requirements should be set for 2028, 2030 and 2040, with a review to be completed by 1 January 2028 to determine the cost and availability of marine fuels to comply with the standard set for 2030 and whether it will be possible for ships to comply. </w:t>
      </w:r>
    </w:p>
    <w:p w14:paraId="79CEB2D1" w14:textId="77777777" w:rsidR="008E1682" w:rsidRDefault="008E1682" w:rsidP="008E1682">
      <w:pPr>
        <w:tabs>
          <w:tab w:val="clear" w:pos="851"/>
        </w:tabs>
      </w:pPr>
    </w:p>
    <w:p w14:paraId="09AEE341" w14:textId="1DC17030" w:rsidR="008E1682" w:rsidRDefault="008E1682" w:rsidP="008E1682">
      <w:pPr>
        <w:tabs>
          <w:tab w:val="clear" w:pos="851"/>
        </w:tabs>
      </w:pPr>
      <w:r>
        <w:t>4</w:t>
      </w:r>
      <w:r w:rsidR="00CF68BF">
        <w:t>7</w:t>
      </w:r>
      <w:r>
        <w:tab/>
        <w:t>The text proposed by the co-sponsors also seeks to accommodate those Member States that wish Required GFI numbers to be agreed for the years between 2030 and 2040. However, while GFI required for 2040 can be agreed now to provide a clear signal to the industry</w:t>
      </w:r>
      <w:r w:rsidR="005129AE">
        <w:t xml:space="preserve"> and energy producers</w:t>
      </w:r>
      <w:r>
        <w:t xml:space="preserve">, it is suggested that development of GHG reduction trajectories to determine GFI requirements for </w:t>
      </w:r>
      <w:r w:rsidRPr="00BC3AD8">
        <w:t>2030 to 2040</w:t>
      </w:r>
      <w:r>
        <w:t xml:space="preserve"> should be deferred until after adoption of the measure. This is because the aggressive GFI reductions which will be needed during the 2030s may have a significant economic impact on Member States and are thus likely to be controversial requiring careful consideration.  It will be difficult for the Committee to complete this work with the degree of consideration required before 2025, in addition to finalising the drafting of the regulations, the </w:t>
      </w:r>
      <w:r w:rsidR="0088676E">
        <w:t>Comprehensive Impact Assessment (</w:t>
      </w:r>
      <w:r>
        <w:t>CIA</w:t>
      </w:r>
      <w:r w:rsidR="0088676E">
        <w:t>)</w:t>
      </w:r>
      <w:r>
        <w:t xml:space="preserve">, and the next version of the LCA Guidelines. Moreover, the calculation of GHG trajectories for the years 2030 to 2040 and what might be required from GFI reductions in those years will depend on what is finally agreed with respect to the level of incentives provided by the maritime GHG emissions pricing mechanism, including the quantum of the GHG fee and the feebate </w:t>
      </w:r>
      <w:r w:rsidR="00296D51">
        <w:t>(reward)</w:t>
      </w:r>
      <w:r w:rsidR="000905E0">
        <w:t xml:space="preserve"> </w:t>
      </w:r>
      <w:r>
        <w:t>per tonne of CO</w:t>
      </w:r>
      <w:r w:rsidRPr="0088676E">
        <w:rPr>
          <w:vertAlign w:val="subscript"/>
        </w:rPr>
        <w:t>2</w:t>
      </w:r>
      <w:r>
        <w:t xml:space="preserve">e prevented. By providing more time for the Committee to agree Required GFI numbers for </w:t>
      </w:r>
      <w:r w:rsidR="007537A0">
        <w:t xml:space="preserve">the years between </w:t>
      </w:r>
      <w:r>
        <w:t xml:space="preserve">2030 to 2040, the Committee can thus avoid the mistakes that occurred when the CII framework was adopted without sufficient time to fully consider the complexity of the issues. </w:t>
      </w:r>
    </w:p>
    <w:p w14:paraId="1550FAAD" w14:textId="77777777" w:rsidR="008E1682" w:rsidRDefault="008E1682" w:rsidP="008E1682">
      <w:pPr>
        <w:tabs>
          <w:tab w:val="clear" w:pos="851"/>
        </w:tabs>
      </w:pPr>
    </w:p>
    <w:p w14:paraId="5EAD6BF4" w14:textId="38BA0C20" w:rsidR="008E1682" w:rsidRDefault="008E1682" w:rsidP="008E1682">
      <w:pPr>
        <w:tabs>
          <w:tab w:val="clear" w:pos="851"/>
        </w:tabs>
      </w:pPr>
      <w:r>
        <w:t>4</w:t>
      </w:r>
      <w:r w:rsidR="00CF68BF">
        <w:t>8</w:t>
      </w:r>
      <w:r>
        <w:tab/>
        <w:t>The co-sponsors are very cautious about stipulating annual reductions in GFI, especially for the 2030s</w:t>
      </w:r>
      <w:r w:rsidR="00E15641">
        <w:t xml:space="preserve"> </w:t>
      </w:r>
      <w:r>
        <w:t>when such annual GFI reductions might be large, with potential unintended consequences for the operation of the global shipping market and the bunker supply industry in the latter part of each calendar year, when potentially large amounts of marine fuel will be about to become under-compl</w:t>
      </w:r>
      <w:r w:rsidR="007537A0">
        <w:t>i</w:t>
      </w:r>
      <w:r>
        <w:t>ant. Five year intervals between significant reductions in Required GFI would be more appropriate, allowing time for sufficient preparation by the shipping and bunker supply industries to prepare for implementation.</w:t>
      </w:r>
    </w:p>
    <w:p w14:paraId="3C6D02B0" w14:textId="77777777" w:rsidR="00D6479C" w:rsidRDefault="00D6479C" w:rsidP="008E1682">
      <w:pPr>
        <w:tabs>
          <w:tab w:val="clear" w:pos="851"/>
        </w:tabs>
      </w:pPr>
    </w:p>
    <w:p w14:paraId="06F66E57" w14:textId="5231511B" w:rsidR="008E1682" w:rsidRDefault="008E1682" w:rsidP="008E1682">
      <w:pPr>
        <w:tabs>
          <w:tab w:val="clear" w:pos="851"/>
        </w:tabs>
      </w:pPr>
      <w:r>
        <w:t>4</w:t>
      </w:r>
      <w:r w:rsidR="00CF68BF">
        <w:t>9</w:t>
      </w:r>
      <w:r>
        <w:t xml:space="preserve"> </w:t>
      </w:r>
      <w:r>
        <w:tab/>
        <w:t xml:space="preserve">Regardless of what is agreed with respect to flexible </w:t>
      </w:r>
      <w:r w:rsidR="001033CF">
        <w:t xml:space="preserve">or alternative </w:t>
      </w:r>
      <w:r>
        <w:t>compliance mechanisms, the co-sponsors emphasise the need to include a provision regarding the use of Fuel Oil Non Availability Reports (FONAR), as provided for in suggested draft regulation 35.</w:t>
      </w:r>
      <w:r w:rsidR="00B62610">
        <w:t>6</w:t>
      </w:r>
      <w:r>
        <w:t xml:space="preserve">, in annex 1 of this document, but only to be used as a </w:t>
      </w:r>
      <w:r w:rsidRPr="00C345D6">
        <w:rPr>
          <w:u w:val="single"/>
        </w:rPr>
        <w:t>last resort</w:t>
      </w:r>
      <w:r>
        <w:t xml:space="preserve"> so that ships can leave port if compliant fuels are not available. There is no evidence to suggest that the current provisions under MARPOL Annex VI have been mis-used with respect to the IMO 2020 sulphur regulations. </w:t>
      </w:r>
    </w:p>
    <w:p w14:paraId="36F3ADFD" w14:textId="77777777" w:rsidR="008E1682" w:rsidRDefault="008E1682" w:rsidP="008E1682">
      <w:pPr>
        <w:tabs>
          <w:tab w:val="clear" w:pos="851"/>
        </w:tabs>
      </w:pPr>
    </w:p>
    <w:p w14:paraId="3D668718" w14:textId="77777777" w:rsidR="008E1682" w:rsidRPr="00D62881" w:rsidRDefault="008E1682" w:rsidP="008E1682">
      <w:pPr>
        <w:tabs>
          <w:tab w:val="clear" w:pos="851"/>
        </w:tabs>
        <w:rPr>
          <w:b/>
          <w:bCs/>
        </w:rPr>
      </w:pPr>
      <w:r w:rsidRPr="00D62881">
        <w:rPr>
          <w:b/>
          <w:bCs/>
        </w:rPr>
        <w:t xml:space="preserve">USE OF OTHER GHG REDUCTION TECHNOLOGIES, INCLUDING CARBON CAPTURE </w:t>
      </w:r>
    </w:p>
    <w:p w14:paraId="215988CD" w14:textId="77777777" w:rsidR="008E1682" w:rsidRDefault="008E1682" w:rsidP="008E1682">
      <w:pPr>
        <w:tabs>
          <w:tab w:val="clear" w:pos="851"/>
        </w:tabs>
      </w:pPr>
    </w:p>
    <w:p w14:paraId="02E1D53A" w14:textId="4178E670" w:rsidR="008E1682" w:rsidRDefault="00CF68BF" w:rsidP="008E1682">
      <w:pPr>
        <w:tabs>
          <w:tab w:val="clear" w:pos="851"/>
        </w:tabs>
      </w:pPr>
      <w:r>
        <w:t>50</w:t>
      </w:r>
      <w:r w:rsidR="008E1682">
        <w:tab/>
        <w:t>In addition to incentivi</w:t>
      </w:r>
      <w:r w:rsidR="00767605">
        <w:t>z</w:t>
      </w:r>
      <w:r w:rsidR="008E1682">
        <w:t xml:space="preserve">ing the production and uptake of zero/near-zero GHG fuels, the IMO Net Zero Framework also needs to encourage </w:t>
      </w:r>
      <w:r w:rsidR="00767605">
        <w:t>and in</w:t>
      </w:r>
      <w:r w:rsidR="00BB3E81">
        <w:t xml:space="preserve">centivize </w:t>
      </w:r>
      <w:r w:rsidR="008E1682">
        <w:t xml:space="preserve">the use of other </w:t>
      </w:r>
      <w:r w:rsidR="00AC122C">
        <w:t xml:space="preserve">innovative </w:t>
      </w:r>
      <w:r w:rsidR="008E1682">
        <w:t xml:space="preserve">GHG reduction technologies, including </w:t>
      </w:r>
      <w:r w:rsidR="003C3F72">
        <w:t xml:space="preserve">on-board </w:t>
      </w:r>
      <w:r w:rsidR="008E1682">
        <w:t>carbon capture</w:t>
      </w:r>
      <w:r w:rsidR="009D0EB5">
        <w:t xml:space="preserve"> (which will reduce the quantity of zero/near-zero GHG marine fuels required) </w:t>
      </w:r>
      <w:r w:rsidR="008E1682">
        <w:t>pending the development of methodologies to determine the GHG emissions prevented by their use after the amendments to MARPOL Annex VI have been adopted in 2025.</w:t>
      </w:r>
    </w:p>
    <w:p w14:paraId="3A24A5AA" w14:textId="77777777" w:rsidR="00157787" w:rsidRDefault="00157787" w:rsidP="00C345D6"/>
    <w:p w14:paraId="069865D0" w14:textId="6BCD541B" w:rsidR="008E1682" w:rsidRDefault="00CF68BF" w:rsidP="00C345D6">
      <w:r>
        <w:lastRenderedPageBreak/>
        <w:t>51</w:t>
      </w:r>
      <w:r w:rsidR="008E1682">
        <w:t xml:space="preserve"> </w:t>
      </w:r>
      <w:r w:rsidR="008E1682">
        <w:tab/>
        <w:t xml:space="preserve">Subject to the development by the Organization of appropriate guidelines. compliance with the GHG intensity requirement of the fuel standard should also be achievable using technologies, such as </w:t>
      </w:r>
      <w:r w:rsidR="00627900">
        <w:t xml:space="preserve">on-board </w:t>
      </w:r>
      <w:r w:rsidR="008E1682">
        <w:t xml:space="preserve">carbon capture, pursuant to regulation 4 of MARPOL </w:t>
      </w:r>
      <w:r w:rsidR="007537A0">
        <w:br/>
      </w:r>
      <w:r w:rsidR="008E1682">
        <w:t>Annex VI on "Equivalents"</w:t>
      </w:r>
      <w:r w:rsidR="00D1662B">
        <w:t>. A</w:t>
      </w:r>
      <w:r w:rsidR="008E1682">
        <w:t xml:space="preserve"> provision for this has been included</w:t>
      </w:r>
      <w:r w:rsidR="001C5415">
        <w:t xml:space="preserve"> </w:t>
      </w:r>
      <w:r w:rsidR="008E1682">
        <w:t>in annex 1 of this document</w:t>
      </w:r>
      <w:r w:rsidR="00D1662B">
        <w:t>,</w:t>
      </w:r>
      <w:r w:rsidR="00171DD4">
        <w:t xml:space="preserve"> in </w:t>
      </w:r>
      <w:r w:rsidR="005C4C54">
        <w:t xml:space="preserve">paragraph 5 of </w:t>
      </w:r>
      <w:r w:rsidR="00EE415F">
        <w:t>pr</w:t>
      </w:r>
      <w:r w:rsidR="00F21346">
        <w:t>opo</w:t>
      </w:r>
      <w:r w:rsidR="00EE415F">
        <w:t xml:space="preserve">sed </w:t>
      </w:r>
      <w:r w:rsidR="00171DD4">
        <w:t>regulation</w:t>
      </w:r>
      <w:r w:rsidR="008C163B">
        <w:t xml:space="preserve"> 35</w:t>
      </w:r>
      <w:r w:rsidR="008D5FBA">
        <w:rPr>
          <w:i/>
          <w:iCs/>
          <w:color w:val="000000" w:themeColor="text1"/>
        </w:rPr>
        <w:t xml:space="preserve"> – </w:t>
      </w:r>
      <w:r w:rsidR="008C163B" w:rsidRPr="00E3618B">
        <w:rPr>
          <w:i/>
          <w:iCs/>
          <w:color w:val="000000" w:themeColor="text1"/>
        </w:rPr>
        <w:t>Goal-based marine fuel standard for GHG intensity</w:t>
      </w:r>
      <w:r w:rsidR="008D5FBA">
        <w:rPr>
          <w:i/>
          <w:iCs/>
          <w:color w:val="000000" w:themeColor="text1"/>
        </w:rPr>
        <w:t>.</w:t>
      </w:r>
      <w:r w:rsidR="00D1662B">
        <w:t xml:space="preserve"> </w:t>
      </w:r>
      <w:r w:rsidR="008E1682">
        <w:t>Likewise, the CO</w:t>
      </w:r>
      <w:r w:rsidR="008E1682" w:rsidRPr="00122CF3">
        <w:rPr>
          <w:vertAlign w:val="subscript"/>
        </w:rPr>
        <w:t>2</w:t>
      </w:r>
      <w:r w:rsidR="008E1682">
        <w:t xml:space="preserve">e emitted/prevented by use of technologies, including CCS, should be taken into account by the GHG fees (contributions) and feebates (rewards) agreed by the Committee as part of the maritime GHG emissions pricing mechanism, as referred to in the </w:t>
      </w:r>
      <w:r w:rsidR="00050713">
        <w:t>proposed</w:t>
      </w:r>
      <w:r w:rsidR="008E1682">
        <w:t xml:space="preserve"> Guidelines </w:t>
      </w:r>
      <w:r w:rsidR="00857231">
        <w:t>for determining GHG fees and feebate</w:t>
      </w:r>
      <w:r w:rsidR="00050713">
        <w:t>s</w:t>
      </w:r>
      <w:r w:rsidR="00857231">
        <w:t xml:space="preserve">, </w:t>
      </w:r>
      <w:r w:rsidR="008E1682">
        <w:t xml:space="preserve">in annex 2 of this document.   </w:t>
      </w:r>
    </w:p>
    <w:p w14:paraId="6A8E9526" w14:textId="77777777" w:rsidR="00304B62" w:rsidRDefault="00304B62" w:rsidP="008E1682">
      <w:pPr>
        <w:tabs>
          <w:tab w:val="clear" w:pos="851"/>
        </w:tabs>
        <w:rPr>
          <w:b/>
          <w:bCs/>
        </w:rPr>
      </w:pPr>
    </w:p>
    <w:p w14:paraId="0AF9E2A8" w14:textId="0EADFF4B" w:rsidR="008E1682" w:rsidRPr="00D62881" w:rsidRDefault="008E1682" w:rsidP="008E1682">
      <w:pPr>
        <w:tabs>
          <w:tab w:val="clear" w:pos="851"/>
        </w:tabs>
        <w:rPr>
          <w:b/>
          <w:bCs/>
        </w:rPr>
      </w:pPr>
      <w:r w:rsidRPr="00D62881">
        <w:rPr>
          <w:b/>
          <w:bCs/>
        </w:rPr>
        <w:t>OTHER KEY ASPECTS OF MODIFIED PROPOSAL</w:t>
      </w:r>
      <w:r w:rsidR="006D5187">
        <w:rPr>
          <w:b/>
          <w:bCs/>
        </w:rPr>
        <w:t xml:space="preserve"> </w:t>
      </w:r>
      <w:r w:rsidR="003E2A48">
        <w:rPr>
          <w:b/>
          <w:bCs/>
        </w:rPr>
        <w:t>REFERENCING THE</w:t>
      </w:r>
      <w:r w:rsidR="006D5187">
        <w:rPr>
          <w:b/>
          <w:bCs/>
        </w:rPr>
        <w:t xml:space="preserve"> </w:t>
      </w:r>
      <w:r w:rsidRPr="00D62881">
        <w:rPr>
          <w:b/>
          <w:bCs/>
        </w:rPr>
        <w:t>“ILLUSTRATION” AGREED BY MEPC 81</w:t>
      </w:r>
    </w:p>
    <w:p w14:paraId="2F790ED0" w14:textId="77777777" w:rsidR="008E1682" w:rsidRDefault="008E1682" w:rsidP="008E1682">
      <w:pPr>
        <w:tabs>
          <w:tab w:val="clear" w:pos="851"/>
        </w:tabs>
      </w:pPr>
    </w:p>
    <w:p w14:paraId="523A1BDA" w14:textId="377469EE" w:rsidR="008E1682" w:rsidRDefault="00CB3C8C" w:rsidP="008E1682">
      <w:pPr>
        <w:tabs>
          <w:tab w:val="clear" w:pos="851"/>
        </w:tabs>
      </w:pPr>
      <w:r>
        <w:t>5</w:t>
      </w:r>
      <w:r w:rsidR="00CF68BF">
        <w:t>2</w:t>
      </w:r>
      <w:r w:rsidR="008E1682">
        <w:tab/>
        <w:t xml:space="preserve">Annex 1 to this document sets out suggested draft amendments to MARPOL </w:t>
      </w:r>
      <w:r w:rsidR="0088676E">
        <w:br/>
      </w:r>
      <w:r w:rsidR="008E1682">
        <w:t>Annex VI, including a new Chapter V concerning a</w:t>
      </w:r>
      <w:r w:rsidR="0088676E">
        <w:t>n “IMO</w:t>
      </w:r>
      <w:r w:rsidR="008E1682">
        <w:t xml:space="preserve"> Net Zero Emissions Framework</w:t>
      </w:r>
      <w:r w:rsidR="0088676E">
        <w:t>”</w:t>
      </w:r>
      <w:r w:rsidR="00A400FE">
        <w:t>.</w:t>
      </w:r>
      <w:r w:rsidR="008E1682">
        <w:t xml:space="preserve"> </w:t>
      </w:r>
      <w:r w:rsidR="00A400FE">
        <w:t xml:space="preserve">This </w:t>
      </w:r>
      <w:r w:rsidR="008E1682">
        <w:t xml:space="preserve">shows how the regulations proposed </w:t>
      </w:r>
      <w:r w:rsidR="00050426">
        <w:t xml:space="preserve">by the co-sponsors </w:t>
      </w:r>
      <w:r w:rsidR="008E1682">
        <w:t xml:space="preserve">would fit, so far as possible, with the headings for regulations used in the “illustration” agreed at MEPC 81. The following </w:t>
      </w:r>
      <w:r w:rsidR="0088676E">
        <w:t xml:space="preserve">sections </w:t>
      </w:r>
      <w:r w:rsidR="00CC1D61">
        <w:t xml:space="preserve">of this document </w:t>
      </w:r>
      <w:r w:rsidR="008E1682">
        <w:t>highlight some of the other key aspects of the text proposed by the co-sponsors</w:t>
      </w:r>
      <w:r w:rsidR="0088676E">
        <w:t>.</w:t>
      </w:r>
    </w:p>
    <w:p w14:paraId="1A4B4F51" w14:textId="77777777" w:rsidR="008E1682" w:rsidRDefault="008E1682" w:rsidP="008E1682">
      <w:pPr>
        <w:tabs>
          <w:tab w:val="clear" w:pos="851"/>
        </w:tabs>
      </w:pPr>
    </w:p>
    <w:p w14:paraId="562E9716" w14:textId="6E8E7A8E" w:rsidR="008E1682" w:rsidRPr="00D62881" w:rsidRDefault="008E1682" w:rsidP="008E1682">
      <w:pPr>
        <w:tabs>
          <w:tab w:val="clear" w:pos="851"/>
        </w:tabs>
        <w:rPr>
          <w:b/>
          <w:bCs/>
        </w:rPr>
      </w:pPr>
      <w:r w:rsidRPr="00D62881">
        <w:rPr>
          <w:b/>
          <w:bCs/>
        </w:rPr>
        <w:t>New focus on maritime GHG emissions charging “mechanism”</w:t>
      </w:r>
    </w:p>
    <w:p w14:paraId="54671DD4" w14:textId="77777777" w:rsidR="008E1682" w:rsidRDefault="008E1682" w:rsidP="008E1682">
      <w:pPr>
        <w:tabs>
          <w:tab w:val="clear" w:pos="851"/>
        </w:tabs>
      </w:pPr>
    </w:p>
    <w:p w14:paraId="12F02B01" w14:textId="6EB1049F" w:rsidR="008E1682" w:rsidRDefault="008864E7" w:rsidP="008E1682">
      <w:pPr>
        <w:tabs>
          <w:tab w:val="clear" w:pos="851"/>
        </w:tabs>
      </w:pPr>
      <w:r>
        <w:t>5</w:t>
      </w:r>
      <w:r w:rsidR="00CF68BF">
        <w:t>3</w:t>
      </w:r>
      <w:r w:rsidR="008E1682">
        <w:tab/>
        <w:t>The text throughout annex 1 of this document now refers to a “maritime GHG emissions pricing mechanism”, consistent with the terminology approved at MEPC 81. This focus on a “mechanism” is to address a legitimate political concern raised by several Member States that the primary purpose of the regulations should not be to generate revenue for a Fund, rather than the revenue and the opportunity to support</w:t>
      </w:r>
      <w:r w:rsidR="00C0493D">
        <w:t>, inter alia,</w:t>
      </w:r>
      <w:r w:rsidR="008E1682">
        <w:t xml:space="preserve"> developing countries via a Fund being a </w:t>
      </w:r>
      <w:r w:rsidR="008E1682" w:rsidRPr="00692FA1">
        <w:rPr>
          <w:u w:val="single"/>
        </w:rPr>
        <w:t>by-product</w:t>
      </w:r>
      <w:r w:rsidR="008E1682">
        <w:t xml:space="preserve"> of the “mechanism”. </w:t>
      </w:r>
    </w:p>
    <w:p w14:paraId="22AE88CD" w14:textId="77777777" w:rsidR="008E1682" w:rsidRDefault="008E1682" w:rsidP="008E1682">
      <w:pPr>
        <w:tabs>
          <w:tab w:val="clear" w:pos="851"/>
        </w:tabs>
      </w:pPr>
    </w:p>
    <w:p w14:paraId="1CC2E63C" w14:textId="7DEA409B" w:rsidR="008E1682" w:rsidRDefault="008864E7" w:rsidP="008E1682">
      <w:pPr>
        <w:tabs>
          <w:tab w:val="clear" w:pos="851"/>
        </w:tabs>
      </w:pPr>
      <w:r>
        <w:t>5</w:t>
      </w:r>
      <w:r w:rsidR="00CF68BF">
        <w:t>4</w:t>
      </w:r>
      <w:r w:rsidR="008E1682">
        <w:tab/>
        <w:t xml:space="preserve">Under the co-sponsors’ proposal, the revenue is now generated to achieve the overriding purpose of the mechanism, which is to reduce the “cost gap” via the feebate system </w:t>
      </w:r>
      <w:r w:rsidR="004E4FA1">
        <w:t>to</w:t>
      </w:r>
      <w:r w:rsidR="008E1682">
        <w:t xml:space="preserve"> </w:t>
      </w:r>
      <w:r w:rsidR="00D94AFB">
        <w:t xml:space="preserve">help </w:t>
      </w:r>
      <w:r w:rsidR="008E1682">
        <w:t xml:space="preserve">achieve the IMO GHG reduction goals – see draft regulation 39 concerning </w:t>
      </w:r>
      <w:r w:rsidR="008E1682" w:rsidRPr="00D003CC">
        <w:rPr>
          <w:i/>
          <w:iCs/>
        </w:rPr>
        <w:t>Purpose of the mechanism and disbursement of revenue</w:t>
      </w:r>
      <w:r w:rsidR="008E1682">
        <w:t xml:space="preserve"> in annex 1 to this document. However, as mentioned above, an IMO Fund – now called the IMO Net Zero Shipping Fund – is still an important part of the package, as set out in draft regulations 39.2 and 42 in annex 1 of this document. </w:t>
      </w:r>
    </w:p>
    <w:p w14:paraId="7C074364" w14:textId="77777777" w:rsidR="008E1682" w:rsidRDefault="008E1682" w:rsidP="008E1682">
      <w:pPr>
        <w:tabs>
          <w:tab w:val="clear" w:pos="851"/>
        </w:tabs>
      </w:pPr>
    </w:p>
    <w:p w14:paraId="3DB14AFD" w14:textId="5531988F" w:rsidR="008E1682" w:rsidRDefault="008864E7" w:rsidP="008E1682">
      <w:pPr>
        <w:tabs>
          <w:tab w:val="clear" w:pos="851"/>
        </w:tabs>
      </w:pPr>
      <w:r>
        <w:t>5</w:t>
      </w:r>
      <w:r w:rsidR="00CF68BF">
        <w:t>5</w:t>
      </w:r>
      <w:r w:rsidR="008E1682">
        <w:tab/>
        <w:t>While it is proposed that all ships (above the tonnage threshold) will be charged a GHG fee (contribution) per tonne of CO</w:t>
      </w:r>
      <w:r w:rsidR="008E1682" w:rsidRPr="00122CF3">
        <w:rPr>
          <w:vertAlign w:val="subscript"/>
        </w:rPr>
        <w:t>2</w:t>
      </w:r>
      <w:r w:rsidR="008E1682">
        <w:t xml:space="preserve">e emitted, there is no mention of a ‘levy’ in the proposed regulations. Instead of referring to a ‘contribution’ to a fund, which is not the main purpose of the “mechanism”, the proposed regulatory text now refers to a </w:t>
      </w:r>
      <w:r w:rsidR="005A3761">
        <w:t>“</w:t>
      </w:r>
      <w:r w:rsidR="008E1682">
        <w:t>GHG fee” per tonne of CO</w:t>
      </w:r>
      <w:r w:rsidR="008E1682" w:rsidRPr="00122CF3">
        <w:rPr>
          <w:vertAlign w:val="subscript"/>
        </w:rPr>
        <w:t>2</w:t>
      </w:r>
      <w:r w:rsidR="008E1682">
        <w:t>e emit</w:t>
      </w:r>
      <w:r w:rsidR="00122CF3">
        <w:t>t</w:t>
      </w:r>
      <w:r w:rsidR="008E1682">
        <w:t xml:space="preserve">ed, which is paid by the ship to the Organization via the </w:t>
      </w:r>
      <w:r w:rsidR="00CD4DA3">
        <w:t xml:space="preserve">automated </w:t>
      </w:r>
      <w:r w:rsidR="008E1682">
        <w:t>maritime GHG emissions pricing mechanism, instead of being paid directly to a fund.</w:t>
      </w:r>
    </w:p>
    <w:p w14:paraId="5596A8E5" w14:textId="77777777" w:rsidR="008E1682" w:rsidRDefault="008E1682" w:rsidP="008E1682">
      <w:pPr>
        <w:tabs>
          <w:tab w:val="clear" w:pos="851"/>
        </w:tabs>
      </w:pPr>
    </w:p>
    <w:p w14:paraId="0FDA42FE" w14:textId="006F44D9" w:rsidR="008E1682" w:rsidRDefault="008E1682" w:rsidP="008E1682">
      <w:pPr>
        <w:tabs>
          <w:tab w:val="clear" w:pos="851"/>
        </w:tabs>
      </w:pPr>
      <w:r>
        <w:t>5</w:t>
      </w:r>
      <w:r w:rsidR="00CF68BF">
        <w:t>6</w:t>
      </w:r>
      <w:r>
        <w:tab/>
        <w:t xml:space="preserve">The proposed “mechanism” is the automated </w:t>
      </w:r>
      <w:r w:rsidR="00414D41">
        <w:t xml:space="preserve">contribution </w:t>
      </w:r>
      <w:r w:rsidR="008611C3">
        <w:t xml:space="preserve">and </w:t>
      </w:r>
      <w:r>
        <w:t>feebate system, which, with changes of terminology, can be based on the web-based prototype submitted as document ISWG-GHG 17/2/1 (ICS).</w:t>
      </w:r>
    </w:p>
    <w:p w14:paraId="4348D008" w14:textId="77777777" w:rsidR="008E1682" w:rsidRDefault="008E1682" w:rsidP="008E1682">
      <w:pPr>
        <w:tabs>
          <w:tab w:val="clear" w:pos="851"/>
        </w:tabs>
      </w:pPr>
    </w:p>
    <w:p w14:paraId="5B61A0DD" w14:textId="37D6E76D" w:rsidR="008E1682" w:rsidRDefault="008E1682" w:rsidP="008E1682">
      <w:pPr>
        <w:tabs>
          <w:tab w:val="clear" w:pos="851"/>
        </w:tabs>
      </w:pPr>
      <w:r>
        <w:t>5</w:t>
      </w:r>
      <w:r w:rsidR="00CF68BF">
        <w:t>7</w:t>
      </w:r>
      <w:r>
        <w:tab/>
        <w:t>Under th</w:t>
      </w:r>
      <w:r w:rsidR="00196FFA">
        <w:t xml:space="preserve">e </w:t>
      </w:r>
      <w:r>
        <w:t xml:space="preserve">proposal by the co-sponsors, there is only the “mechanism” plus a single IMO Net Zero Shipping Fund. Instead of being paid to the Fund, most of the GHG fees collected will be held by the “mechanism” (administered by IMO) for a short time only, before being distributed as feebates (rewards) to </w:t>
      </w:r>
      <w:r w:rsidR="00C727C1">
        <w:t xml:space="preserve">companies whose </w:t>
      </w:r>
      <w:r>
        <w:t>ships</w:t>
      </w:r>
      <w:r w:rsidR="00C727C1">
        <w:t xml:space="preserve"> </w:t>
      </w:r>
      <w:r>
        <w:t>use eligible zero/near-zero GHG fuels</w:t>
      </w:r>
      <w:r w:rsidR="00215FE3">
        <w:t>.</w:t>
      </w:r>
      <w:r>
        <w:t xml:space="preserve"> </w:t>
      </w:r>
      <w:r w:rsidR="00215FE3">
        <w:t>I</w:t>
      </w:r>
      <w:r>
        <w:t xml:space="preserve">n many cases </w:t>
      </w:r>
      <w:r w:rsidR="007E56A1">
        <w:t>(</w:t>
      </w:r>
      <w:r w:rsidR="00AF45F4">
        <w:t>see below</w:t>
      </w:r>
      <w:r w:rsidR="007E56A1">
        <w:t>)</w:t>
      </w:r>
      <w:r w:rsidR="00AF45F4">
        <w:t xml:space="preserve"> </w:t>
      </w:r>
      <w:r>
        <w:t>the feebate</w:t>
      </w:r>
      <w:r w:rsidR="00AF45F4">
        <w:t>, being smaller than the GHG fee,</w:t>
      </w:r>
      <w:r>
        <w:t xml:space="preserve"> will be </w:t>
      </w:r>
      <w:r>
        <w:lastRenderedPageBreak/>
        <w:t xml:space="preserve">deducted </w:t>
      </w:r>
      <w:r w:rsidR="00505CF5">
        <w:t xml:space="preserve">by the </w:t>
      </w:r>
      <w:r w:rsidR="009061EC">
        <w:t>“</w:t>
      </w:r>
      <w:r w:rsidR="00505CF5">
        <w:t>mechanism</w:t>
      </w:r>
      <w:r w:rsidR="009061EC">
        <w:t>”</w:t>
      </w:r>
      <w:r w:rsidR="00505CF5">
        <w:t xml:space="preserve"> </w:t>
      </w:r>
      <w:r>
        <w:t>from the annual GHG fee</w:t>
      </w:r>
      <w:r w:rsidR="009A4D3A">
        <w:t xml:space="preserve"> to </w:t>
      </w:r>
      <w:r w:rsidR="00E63BA4">
        <w:t xml:space="preserve">be </w:t>
      </w:r>
      <w:r w:rsidR="009A4D3A">
        <w:t>paid by the ship, rather</w:t>
      </w:r>
      <w:r w:rsidR="00AF45F4">
        <w:t xml:space="preserve"> than </w:t>
      </w:r>
      <w:r w:rsidR="0046555B">
        <w:t xml:space="preserve">actually </w:t>
      </w:r>
      <w:r w:rsidR="00AF45F4">
        <w:t>being paid to the ship</w:t>
      </w:r>
      <w:r w:rsidR="00DB5E18">
        <w:t xml:space="preserve"> (or the company which operates it</w:t>
      </w:r>
      <w:r w:rsidR="003F6873">
        <w:t>).</w:t>
      </w:r>
      <w:r>
        <w:t xml:space="preserve"> </w:t>
      </w:r>
    </w:p>
    <w:p w14:paraId="4B6535F2" w14:textId="77777777" w:rsidR="008E1682" w:rsidRDefault="008E1682" w:rsidP="008E1682">
      <w:pPr>
        <w:tabs>
          <w:tab w:val="clear" w:pos="851"/>
        </w:tabs>
      </w:pPr>
    </w:p>
    <w:p w14:paraId="04D361D4" w14:textId="1F23D876" w:rsidR="008E1682" w:rsidRDefault="008E1682" w:rsidP="008E1682">
      <w:pPr>
        <w:tabs>
          <w:tab w:val="clear" w:pos="851"/>
        </w:tabs>
      </w:pPr>
      <w:r>
        <w:t>5</w:t>
      </w:r>
      <w:r w:rsidR="00CF68BF">
        <w:t>8</w:t>
      </w:r>
      <w:r>
        <w:tab/>
        <w:t xml:space="preserve"> Under this proposal by the co-sponsors, after feebates have been </w:t>
      </w:r>
      <w:r w:rsidR="007E56A1">
        <w:t xml:space="preserve">disbursed </w:t>
      </w:r>
      <w:r>
        <w:t xml:space="preserve">via the “mechanism” to ships using eligible zero/near-zero GHG fuels, only the surplus (by-product) from the total GHG fees collected annually is allocated to the IMO Net Zero Shipping Fund (to support </w:t>
      </w:r>
      <w:r w:rsidR="00545BF3">
        <w:t xml:space="preserve">a </w:t>
      </w:r>
      <w:r>
        <w:t>just transition</w:t>
      </w:r>
      <w:r w:rsidR="00573C68">
        <w:t xml:space="preserve"> </w:t>
      </w:r>
      <w:r>
        <w:t>and maritime GHG reduction efforts by developing countries</w:t>
      </w:r>
      <w:r w:rsidR="00545BF3">
        <w:t xml:space="preserve"> etc.</w:t>
      </w:r>
      <w:r>
        <w:t xml:space="preserve">). As </w:t>
      </w:r>
      <w:r w:rsidR="00545BF3">
        <w:t>most of the</w:t>
      </w:r>
      <w:r>
        <w:t xml:space="preserve"> revenue collected via the maritime GHG emissions pricing mechanism will be used as feebates (rewards), which will be </w:t>
      </w:r>
      <w:r w:rsidR="007E56A1">
        <w:t xml:space="preserve">disbursed </w:t>
      </w:r>
      <w:r>
        <w:t xml:space="preserve">via the </w:t>
      </w:r>
      <w:r w:rsidR="006C118A">
        <w:t>“</w:t>
      </w:r>
      <w:r>
        <w:t>mechanism</w:t>
      </w:r>
      <w:r w:rsidR="006C118A">
        <w:t>”</w:t>
      </w:r>
      <w:r>
        <w:t xml:space="preserve"> very soon after GHG fees are collected, this process can be centrally managed and overseen without the need for any ‘policy’ decisions by the automated “mechanism” itself, which will be administered by the Organization. No policy decisions about use of revenue collected and administered by the “mechanism” (as opposed to the Fund) will be required because this will clearly be set out in the regulations, and oversight and governance of the operation of the</w:t>
      </w:r>
      <w:r w:rsidR="007C4C41">
        <w:t xml:space="preserve"> “</w:t>
      </w:r>
      <w:r>
        <w:t>mechanism</w:t>
      </w:r>
      <w:r w:rsidR="007C4C41">
        <w:t>”</w:t>
      </w:r>
      <w:r>
        <w:t xml:space="preserve"> (as opposed to the Fund) can be limited to audits to ensure that revenue collected is appropriat</w:t>
      </w:r>
      <w:r w:rsidR="00CB30E5">
        <w:t>ely</w:t>
      </w:r>
      <w:r>
        <w:t xml:space="preserve"> managed before it is disbursed. As mentioned above, it is suggested that guidelines on the detailed operation, management and governance of the Fund can be developed after the regulations are adopted in 2025.</w:t>
      </w:r>
    </w:p>
    <w:p w14:paraId="3C5CBE7C" w14:textId="77777777" w:rsidR="008E1682" w:rsidRDefault="008E1682" w:rsidP="008E1682">
      <w:pPr>
        <w:tabs>
          <w:tab w:val="clear" w:pos="851"/>
        </w:tabs>
      </w:pPr>
    </w:p>
    <w:p w14:paraId="4D0464ED" w14:textId="3085958E" w:rsidR="008E1682" w:rsidRPr="00D62881" w:rsidRDefault="008E1682" w:rsidP="008E1682">
      <w:pPr>
        <w:tabs>
          <w:tab w:val="clear" w:pos="851"/>
        </w:tabs>
        <w:rPr>
          <w:b/>
          <w:bCs/>
        </w:rPr>
      </w:pPr>
      <w:r w:rsidRPr="00D62881">
        <w:rPr>
          <w:b/>
          <w:bCs/>
        </w:rPr>
        <w:t xml:space="preserve">Integration of </w:t>
      </w:r>
      <w:r w:rsidR="00D62881" w:rsidRPr="00D62881">
        <w:rPr>
          <w:b/>
          <w:bCs/>
        </w:rPr>
        <w:t>t</w:t>
      </w:r>
      <w:r w:rsidRPr="00D62881">
        <w:rPr>
          <w:b/>
          <w:bCs/>
        </w:rPr>
        <w:t xml:space="preserve">echnical and </w:t>
      </w:r>
      <w:r w:rsidR="00D62881" w:rsidRPr="00D62881">
        <w:rPr>
          <w:b/>
          <w:bCs/>
        </w:rPr>
        <w:t>e</w:t>
      </w:r>
      <w:r w:rsidRPr="00D62881">
        <w:rPr>
          <w:b/>
          <w:bCs/>
        </w:rPr>
        <w:t xml:space="preserve">conomic </w:t>
      </w:r>
      <w:r w:rsidR="00D62881" w:rsidRPr="00D62881">
        <w:rPr>
          <w:b/>
          <w:bCs/>
        </w:rPr>
        <w:t>e</w:t>
      </w:r>
      <w:r w:rsidRPr="00D62881">
        <w:rPr>
          <w:b/>
          <w:bCs/>
        </w:rPr>
        <w:t xml:space="preserve">lements </w:t>
      </w:r>
    </w:p>
    <w:p w14:paraId="3CA0B5AF" w14:textId="77777777" w:rsidR="008E1682" w:rsidRDefault="008E1682" w:rsidP="008E1682">
      <w:pPr>
        <w:tabs>
          <w:tab w:val="clear" w:pos="851"/>
        </w:tabs>
      </w:pPr>
    </w:p>
    <w:p w14:paraId="0ED1D84D" w14:textId="59DB5284" w:rsidR="00822383" w:rsidRDefault="008E1682" w:rsidP="008E1682">
      <w:pPr>
        <w:tabs>
          <w:tab w:val="clear" w:pos="851"/>
        </w:tabs>
      </w:pPr>
      <w:r>
        <w:t>5</w:t>
      </w:r>
      <w:r w:rsidR="00CF68BF">
        <w:t>9</w:t>
      </w:r>
      <w:r>
        <w:tab/>
        <w:t xml:space="preserve">To accommodate views expressed by several Member States, it is proposed to integrate the regulations concerning the (technical) fuel standard and the (economic) pricing mechanism into a single Chapter of MARPOL Annex VI, and it is not envisaged that the new Chapter 5 to MARPOL Annex VI would be divided into sections 5.1 and 5.2 as identified in the MEPC 81 “illustration”. </w:t>
      </w:r>
    </w:p>
    <w:p w14:paraId="7C66CF64" w14:textId="098357F4" w:rsidR="008E1682" w:rsidRDefault="008E1682" w:rsidP="008E1682">
      <w:pPr>
        <w:tabs>
          <w:tab w:val="clear" w:pos="851"/>
        </w:tabs>
      </w:pPr>
      <w:r>
        <w:t xml:space="preserve"> </w:t>
      </w:r>
    </w:p>
    <w:p w14:paraId="488A13F5" w14:textId="46732F0B" w:rsidR="008E1682" w:rsidRDefault="00CF68BF" w:rsidP="008E1682">
      <w:pPr>
        <w:tabs>
          <w:tab w:val="clear" w:pos="851"/>
        </w:tabs>
      </w:pPr>
      <w:r>
        <w:t>60</w:t>
      </w:r>
      <w:r w:rsidR="008E1682">
        <w:tab/>
        <w:t xml:space="preserve">As mentioned above, the text proposed for regulation 36 – </w:t>
      </w:r>
      <w:r w:rsidR="008E1682" w:rsidRPr="00BC1BDA">
        <w:rPr>
          <w:i/>
          <w:iCs/>
        </w:rPr>
        <w:t>Alternative compliance by a ship</w:t>
      </w:r>
      <w:r w:rsidR="008E1682">
        <w:t xml:space="preserve"> – introduces a simple fixed “GHG Surcharge Fee”</w:t>
      </w:r>
      <w:r w:rsidR="00D015F3">
        <w:t xml:space="preserve"> </w:t>
      </w:r>
      <w:r w:rsidR="008E1682">
        <w:t>for under-compliance with the fuel standard, the price of which will be fixed, for a 5 year period, and linked to the mandatory GHG fee per tonne of CO</w:t>
      </w:r>
      <w:r w:rsidR="008E1682" w:rsidRPr="00122CF3">
        <w:rPr>
          <w:vertAlign w:val="subscript"/>
        </w:rPr>
        <w:t>2</w:t>
      </w:r>
      <w:r w:rsidR="008E1682">
        <w:t xml:space="preserve">e emitted, as set out in proposed regulation 40 – </w:t>
      </w:r>
      <w:r w:rsidR="008E1682" w:rsidRPr="00122CF3">
        <w:rPr>
          <w:i/>
          <w:iCs/>
        </w:rPr>
        <w:t>Calculation</w:t>
      </w:r>
      <w:r w:rsidR="00122CF3" w:rsidRPr="00122CF3">
        <w:rPr>
          <w:i/>
          <w:iCs/>
        </w:rPr>
        <w:t xml:space="preserve"> </w:t>
      </w:r>
      <w:r w:rsidR="008E1682" w:rsidRPr="00122CF3">
        <w:rPr>
          <w:i/>
          <w:iCs/>
        </w:rPr>
        <w:t>and collection of GHG fees</w:t>
      </w:r>
      <w:r w:rsidR="008E1682">
        <w:t xml:space="preserve">. As this GHG Surcharge Fee will be transmitted by the ship via the (fully automated) maritime GHG emissions pricing mechanism, this removes the need for the Organization to establish a separate GFI registry (as suggested by the “illustrative” template developed at MEPC 81). </w:t>
      </w:r>
    </w:p>
    <w:p w14:paraId="69105A87" w14:textId="77777777" w:rsidR="00C36E79" w:rsidRDefault="00C36E79" w:rsidP="008E1682">
      <w:pPr>
        <w:tabs>
          <w:tab w:val="clear" w:pos="851"/>
        </w:tabs>
      </w:pPr>
    </w:p>
    <w:p w14:paraId="6721409B" w14:textId="77777777" w:rsidR="008E1682" w:rsidRPr="00D62881" w:rsidRDefault="008E1682" w:rsidP="008E1682">
      <w:pPr>
        <w:tabs>
          <w:tab w:val="clear" w:pos="851"/>
        </w:tabs>
        <w:rPr>
          <w:b/>
          <w:bCs/>
        </w:rPr>
      </w:pPr>
      <w:r w:rsidRPr="00D62881">
        <w:rPr>
          <w:b/>
          <w:bCs/>
        </w:rPr>
        <w:t xml:space="preserve">Mechanism for calculation and collection of GHG fees and calculation and disbursement of feebates </w:t>
      </w:r>
    </w:p>
    <w:p w14:paraId="01B8739F" w14:textId="77777777" w:rsidR="008E1682" w:rsidRDefault="008E1682" w:rsidP="008E1682">
      <w:pPr>
        <w:tabs>
          <w:tab w:val="clear" w:pos="851"/>
        </w:tabs>
      </w:pPr>
    </w:p>
    <w:p w14:paraId="1C38512A" w14:textId="77777777" w:rsidR="008E1682" w:rsidRPr="00D62881" w:rsidRDefault="008E1682" w:rsidP="008E1682">
      <w:pPr>
        <w:tabs>
          <w:tab w:val="clear" w:pos="851"/>
        </w:tabs>
        <w:rPr>
          <w:b/>
          <w:bCs/>
          <w:i/>
          <w:iCs/>
        </w:rPr>
      </w:pPr>
      <w:r w:rsidRPr="00D62881">
        <w:rPr>
          <w:b/>
          <w:bCs/>
          <w:i/>
          <w:iCs/>
        </w:rPr>
        <w:t>Application of regulations to the ship</w:t>
      </w:r>
    </w:p>
    <w:p w14:paraId="378E66CB" w14:textId="77777777" w:rsidR="008E1682" w:rsidRDefault="008E1682" w:rsidP="008E1682">
      <w:pPr>
        <w:tabs>
          <w:tab w:val="clear" w:pos="851"/>
        </w:tabs>
      </w:pPr>
    </w:p>
    <w:p w14:paraId="6D0A3C81" w14:textId="3094B14A" w:rsidR="008E1682" w:rsidRDefault="001B3835" w:rsidP="008E1682">
      <w:pPr>
        <w:tabs>
          <w:tab w:val="clear" w:pos="851"/>
        </w:tabs>
      </w:pPr>
      <w:r>
        <w:t>61</w:t>
      </w:r>
      <w:r w:rsidR="008E1682">
        <w:tab/>
        <w:t>It is recognised that in practice it will be shipping compan</w:t>
      </w:r>
      <w:r w:rsidR="00410BA0">
        <w:t>ies</w:t>
      </w:r>
      <w:r w:rsidR="008E1682">
        <w:t xml:space="preserve"> which pay GHG fees (contributions)</w:t>
      </w:r>
      <w:r w:rsidR="009E1F59">
        <w:t>,</w:t>
      </w:r>
      <w:r w:rsidR="008E1682">
        <w:t xml:space="preserve"> via the maritime GHG emissions pricing mechanism</w:t>
      </w:r>
      <w:r w:rsidR="009E1F59">
        <w:t>,</w:t>
      </w:r>
      <w:r w:rsidR="008E1682">
        <w:t xml:space="preserve"> on behalf of the ships which they operate</w:t>
      </w:r>
      <w:r w:rsidR="009E1F59">
        <w:t xml:space="preserve"> </w:t>
      </w:r>
      <w:r w:rsidR="008E1682">
        <w:t xml:space="preserve">which will each have an account with the </w:t>
      </w:r>
      <w:r w:rsidR="003F4D37">
        <w:t>“</w:t>
      </w:r>
      <w:r w:rsidR="008E1682">
        <w:t>mechanism</w:t>
      </w:r>
      <w:r w:rsidR="003F4D37">
        <w:t>”</w:t>
      </w:r>
      <w:r w:rsidR="008E1682">
        <w:t xml:space="preserve">, administered by the Organization, linked to </w:t>
      </w:r>
      <w:r w:rsidR="0037605F">
        <w:t>the ship’s</w:t>
      </w:r>
      <w:r w:rsidR="008E1682">
        <w:t xml:space="preserve"> IMO number. However, to be consistent with other provisions in MARPOL it is important that the regulations are addressed to “the ship” which will make it easier for the collection process to work</w:t>
      </w:r>
      <w:r w:rsidR="00A47B55">
        <w:t xml:space="preserve"> </w:t>
      </w:r>
      <w:r w:rsidR="008E1682">
        <w:t>and be consistent with the need for a S</w:t>
      </w:r>
      <w:r w:rsidR="007E56A1">
        <w:t>tatement of Compliance</w:t>
      </w:r>
      <w:r w:rsidR="008E1682">
        <w:t xml:space="preserve"> related to the GHG fee to be issued to the ship by flag State Administrations and carried on board the ship for enforcement purposes.</w:t>
      </w:r>
    </w:p>
    <w:p w14:paraId="6B98E7C5" w14:textId="77777777" w:rsidR="0037605F" w:rsidRDefault="0037605F" w:rsidP="008E1682">
      <w:pPr>
        <w:tabs>
          <w:tab w:val="clear" w:pos="851"/>
        </w:tabs>
        <w:rPr>
          <w:b/>
          <w:bCs/>
          <w:i/>
          <w:iCs/>
        </w:rPr>
      </w:pPr>
    </w:p>
    <w:p w14:paraId="23B0C5B2" w14:textId="77777777" w:rsidR="00522330" w:rsidRDefault="00522330" w:rsidP="008E1682">
      <w:pPr>
        <w:tabs>
          <w:tab w:val="clear" w:pos="851"/>
        </w:tabs>
        <w:rPr>
          <w:b/>
          <w:bCs/>
          <w:i/>
          <w:iCs/>
        </w:rPr>
      </w:pPr>
    </w:p>
    <w:p w14:paraId="30D88579" w14:textId="268230DA" w:rsidR="008E1682" w:rsidRPr="00D62881" w:rsidRDefault="008E1682" w:rsidP="00EA3929">
      <w:pPr>
        <w:keepNext/>
        <w:keepLines/>
        <w:tabs>
          <w:tab w:val="clear" w:pos="851"/>
        </w:tabs>
        <w:rPr>
          <w:b/>
          <w:bCs/>
          <w:i/>
          <w:iCs/>
        </w:rPr>
      </w:pPr>
      <w:r w:rsidRPr="00D62881">
        <w:rPr>
          <w:b/>
          <w:bCs/>
          <w:i/>
          <w:iCs/>
        </w:rPr>
        <w:lastRenderedPageBreak/>
        <w:t>Rationale for setting quantum of GHG fee, linking this to the 2030 level of ambition</w:t>
      </w:r>
    </w:p>
    <w:p w14:paraId="7D854ED1" w14:textId="77777777" w:rsidR="008E1682" w:rsidRDefault="008E1682" w:rsidP="00EA3929">
      <w:pPr>
        <w:keepNext/>
        <w:keepLines/>
        <w:tabs>
          <w:tab w:val="clear" w:pos="851"/>
        </w:tabs>
      </w:pPr>
    </w:p>
    <w:p w14:paraId="581B1A7E" w14:textId="53622B5D" w:rsidR="00901DE0" w:rsidRPr="0030139F" w:rsidRDefault="00901DE0" w:rsidP="00901DE0">
      <w:pPr>
        <w:keepNext/>
        <w:rPr>
          <w:szCs w:val="22"/>
        </w:rPr>
      </w:pPr>
      <w:r w:rsidRPr="00692FA1">
        <w:rPr>
          <w:szCs w:val="22"/>
        </w:rPr>
        <w:t>62</w:t>
      </w:r>
      <w:r w:rsidR="007E56A1">
        <w:rPr>
          <w:szCs w:val="22"/>
        </w:rPr>
        <w:tab/>
      </w:r>
      <w:r w:rsidRPr="00692FA1">
        <w:rPr>
          <w:szCs w:val="22"/>
        </w:rPr>
        <w:t xml:space="preserve">In annex 1 of this document, proposed regulation 40 concerns the </w:t>
      </w:r>
      <w:r w:rsidRPr="00692FA1">
        <w:rPr>
          <w:i/>
          <w:iCs/>
          <w:szCs w:val="22"/>
        </w:rPr>
        <w:t>Calculation and collection of GHG fees</w:t>
      </w:r>
      <w:r w:rsidRPr="00692FA1">
        <w:rPr>
          <w:szCs w:val="22"/>
        </w:rPr>
        <w:t>, with proposed regulation 40.4 specifying the quantum of the GHG fee (contribution) to be made via the maritime GHG pricing mechanism, expressed in US$ per tonne of CO</w:t>
      </w:r>
      <w:r w:rsidRPr="00692FA1">
        <w:rPr>
          <w:szCs w:val="22"/>
          <w:vertAlign w:val="subscript"/>
        </w:rPr>
        <w:t>2</w:t>
      </w:r>
      <w:r w:rsidRPr="00692FA1">
        <w:rPr>
          <w:szCs w:val="22"/>
        </w:rPr>
        <w:t xml:space="preserve">e emitted. </w:t>
      </w:r>
    </w:p>
    <w:p w14:paraId="22D43A6D" w14:textId="77777777" w:rsidR="00901DE0" w:rsidRPr="0030139F" w:rsidRDefault="00901DE0" w:rsidP="00901DE0">
      <w:pPr>
        <w:rPr>
          <w:szCs w:val="22"/>
        </w:rPr>
      </w:pPr>
      <w:r w:rsidRPr="00692FA1">
        <w:rPr>
          <w:szCs w:val="22"/>
        </w:rPr>
        <w:t> </w:t>
      </w:r>
    </w:p>
    <w:p w14:paraId="42D23B98" w14:textId="100BDFDA" w:rsidR="00901DE0" w:rsidRPr="0030139F" w:rsidRDefault="00901DE0" w:rsidP="00901DE0">
      <w:pPr>
        <w:rPr>
          <w:szCs w:val="22"/>
        </w:rPr>
      </w:pPr>
      <w:r w:rsidRPr="00692FA1">
        <w:rPr>
          <w:szCs w:val="22"/>
        </w:rPr>
        <w:t>63</w:t>
      </w:r>
      <w:r w:rsidR="007E56A1">
        <w:rPr>
          <w:szCs w:val="22"/>
        </w:rPr>
        <w:tab/>
      </w:r>
      <w:r w:rsidRPr="00692FA1">
        <w:rPr>
          <w:szCs w:val="22"/>
        </w:rPr>
        <w:t>As mentioned above, the co-sponsors take no view on what the quantum of the GHG fee should be, provided it achieves the objectives of the measure. Nonetheless, the proposed regulations now include a ‘rationale’ for initially setting the quantum of the GHG fee (contribution) at a level that might be politically acceptable (for example, for illustrative purposes</w:t>
      </w:r>
      <w:r w:rsidRPr="00692FA1">
        <w:rPr>
          <w:color w:val="FF0000"/>
          <w:szCs w:val="22"/>
        </w:rPr>
        <w:t xml:space="preserve">, </w:t>
      </w:r>
      <w:r w:rsidRPr="00692FA1">
        <w:rPr>
          <w:szCs w:val="22"/>
        </w:rPr>
        <w:t>US$18.75 per tonne of CO</w:t>
      </w:r>
      <w:r w:rsidRPr="00692FA1">
        <w:rPr>
          <w:szCs w:val="22"/>
          <w:vertAlign w:val="subscript"/>
        </w:rPr>
        <w:t>2</w:t>
      </w:r>
      <w:r w:rsidRPr="00692FA1">
        <w:rPr>
          <w:szCs w:val="22"/>
        </w:rPr>
        <w:t>e</w:t>
      </w:r>
      <w:r w:rsidR="008E311E">
        <w:rPr>
          <w:szCs w:val="22"/>
        </w:rPr>
        <w:t xml:space="preserve"> emitted</w:t>
      </w:r>
      <w:r w:rsidRPr="00692FA1">
        <w:rPr>
          <w:szCs w:val="22"/>
        </w:rPr>
        <w:t>, which is equivalent to about US$60 per tonne of conventional fuel oil consumed, assuming a CO</w:t>
      </w:r>
      <w:r w:rsidRPr="00692FA1">
        <w:rPr>
          <w:szCs w:val="22"/>
          <w:vertAlign w:val="subscript"/>
        </w:rPr>
        <w:t>2</w:t>
      </w:r>
      <w:r w:rsidRPr="00692FA1">
        <w:rPr>
          <w:szCs w:val="22"/>
        </w:rPr>
        <w:t xml:space="preserve">e conversion factor of 3.2, and – subject to confirmation by the CIA – would be unlikely to have disproportionately negative impacts on delivered cargo prices, according to the analysis submitted as document ISWG-GHG 16/2/2 (ICS). </w:t>
      </w:r>
    </w:p>
    <w:p w14:paraId="16450173" w14:textId="77777777" w:rsidR="00901DE0" w:rsidRPr="0030139F" w:rsidRDefault="00901DE0" w:rsidP="00901DE0">
      <w:pPr>
        <w:rPr>
          <w:szCs w:val="22"/>
        </w:rPr>
      </w:pPr>
      <w:r w:rsidRPr="00692FA1">
        <w:rPr>
          <w:szCs w:val="22"/>
        </w:rPr>
        <w:t> </w:t>
      </w:r>
    </w:p>
    <w:p w14:paraId="70555A56" w14:textId="329758D5" w:rsidR="00901DE0" w:rsidRPr="0030139F" w:rsidRDefault="00901DE0" w:rsidP="00901DE0">
      <w:pPr>
        <w:rPr>
          <w:szCs w:val="22"/>
        </w:rPr>
      </w:pPr>
      <w:r w:rsidRPr="00692FA1">
        <w:rPr>
          <w:szCs w:val="22"/>
        </w:rPr>
        <w:t>64</w:t>
      </w:r>
      <w:r w:rsidR="007E56A1">
        <w:rPr>
          <w:szCs w:val="22"/>
        </w:rPr>
        <w:tab/>
      </w:r>
      <w:r w:rsidRPr="00692FA1">
        <w:rPr>
          <w:szCs w:val="22"/>
        </w:rPr>
        <w:t xml:space="preserve">The rationale is underpinned by proposed regulation 39 – </w:t>
      </w:r>
      <w:r w:rsidRPr="00692FA1">
        <w:rPr>
          <w:i/>
          <w:iCs/>
          <w:szCs w:val="22"/>
        </w:rPr>
        <w:t>Purpose of the mechanism and disbursement of revenue</w:t>
      </w:r>
      <w:r w:rsidRPr="00692FA1">
        <w:rPr>
          <w:szCs w:val="22"/>
        </w:rPr>
        <w:t xml:space="preserve">. This refers, in line with the level of ambition in the IMO 2023 GHG Strategy, to ensuring that at least 5% to 10% of the energy used by shipping comes from zero or near-zero GHG sources as soon as possible, and sets out that GHG fees shall be collected for the provision of annual feebates (rewards) to reduce the cost gap between zero and near-zero GHG fuels and conventional fuel and that, as a by-product of the “mechanism”, funds can also be allocated to the IMO Net Zero Shipping Fund. </w:t>
      </w:r>
    </w:p>
    <w:p w14:paraId="157792FA" w14:textId="77777777" w:rsidR="00901DE0" w:rsidRPr="0030139F" w:rsidRDefault="00901DE0" w:rsidP="00901DE0">
      <w:pPr>
        <w:rPr>
          <w:szCs w:val="22"/>
        </w:rPr>
      </w:pPr>
      <w:r w:rsidRPr="00692FA1">
        <w:rPr>
          <w:szCs w:val="22"/>
        </w:rPr>
        <w:t> </w:t>
      </w:r>
    </w:p>
    <w:p w14:paraId="274E2C81" w14:textId="7029ED25" w:rsidR="00901DE0" w:rsidRPr="0030139F" w:rsidRDefault="00901DE0" w:rsidP="00901DE0">
      <w:pPr>
        <w:rPr>
          <w:szCs w:val="22"/>
        </w:rPr>
      </w:pPr>
      <w:r w:rsidRPr="00692FA1">
        <w:rPr>
          <w:szCs w:val="22"/>
        </w:rPr>
        <w:t>65</w:t>
      </w:r>
      <w:r w:rsidR="007E56A1">
        <w:rPr>
          <w:szCs w:val="22"/>
        </w:rPr>
        <w:tab/>
      </w:r>
      <w:r w:rsidRPr="00692FA1">
        <w:rPr>
          <w:szCs w:val="22"/>
        </w:rPr>
        <w:t xml:space="preserve">This actual rationale is provided by linking the quantum of the GHG fee (as set by proposed regulation 40.4) to the amount of annual revenue that will be required to achieve the immediate objective of the measure, i.e. the upper end of the level of ambition in the IMO 2023 GHG Strategy for up to 10% of </w:t>
      </w:r>
      <w:r w:rsidR="00D621AC">
        <w:rPr>
          <w:szCs w:val="22"/>
        </w:rPr>
        <w:t xml:space="preserve">international </w:t>
      </w:r>
      <w:r w:rsidRPr="00692FA1">
        <w:rPr>
          <w:szCs w:val="22"/>
        </w:rPr>
        <w:t>shipping’s emission</w:t>
      </w:r>
      <w:r w:rsidR="005D3ED8">
        <w:rPr>
          <w:szCs w:val="22"/>
        </w:rPr>
        <w:t>s</w:t>
      </w:r>
      <w:r w:rsidRPr="00692FA1">
        <w:rPr>
          <w:szCs w:val="22"/>
        </w:rPr>
        <w:t xml:space="preserve"> to come from zero/near</w:t>
      </w:r>
      <w:r w:rsidR="00EA47EE">
        <w:rPr>
          <w:szCs w:val="22"/>
        </w:rPr>
        <w:t>-</w:t>
      </w:r>
      <w:r w:rsidRPr="00692FA1">
        <w:rPr>
          <w:szCs w:val="22"/>
        </w:rPr>
        <w:t xml:space="preserve">zero GHG energy sources. Proposed regulation 40.3 reads as follows: </w:t>
      </w:r>
    </w:p>
    <w:p w14:paraId="7D0E26BA" w14:textId="77777777" w:rsidR="00901DE0" w:rsidRPr="0030139F" w:rsidRDefault="00901DE0" w:rsidP="00901DE0">
      <w:pPr>
        <w:rPr>
          <w:szCs w:val="22"/>
        </w:rPr>
      </w:pPr>
      <w:r w:rsidRPr="00692FA1">
        <w:rPr>
          <w:szCs w:val="22"/>
        </w:rPr>
        <w:t> </w:t>
      </w:r>
    </w:p>
    <w:p w14:paraId="22F0B3EB" w14:textId="77777777" w:rsidR="00901DE0" w:rsidRPr="0030139F" w:rsidRDefault="00901DE0" w:rsidP="00901DE0">
      <w:pPr>
        <w:ind w:left="851"/>
        <w:rPr>
          <w:szCs w:val="22"/>
        </w:rPr>
      </w:pPr>
      <w:r w:rsidRPr="00692FA1">
        <w:rPr>
          <w:szCs w:val="22"/>
        </w:rPr>
        <w:t>“For a minimum period of 5 years after entry into force of this chapter, the total GHG fees to be collected annually via the mechanism shall be sufficient to:</w:t>
      </w:r>
    </w:p>
    <w:p w14:paraId="07330C13" w14:textId="77777777" w:rsidR="00901DE0" w:rsidRPr="0030139F" w:rsidRDefault="00901DE0" w:rsidP="00901DE0">
      <w:pPr>
        <w:rPr>
          <w:szCs w:val="22"/>
        </w:rPr>
      </w:pPr>
      <w:r w:rsidRPr="00692FA1">
        <w:rPr>
          <w:szCs w:val="22"/>
        </w:rPr>
        <w:t> </w:t>
      </w:r>
    </w:p>
    <w:p w14:paraId="4C62F63D" w14:textId="7DEABC10" w:rsidR="00901DE0" w:rsidRPr="0030139F" w:rsidRDefault="00901DE0" w:rsidP="00901DE0">
      <w:pPr>
        <w:ind w:left="1701" w:hanging="850"/>
        <w:rPr>
          <w:szCs w:val="22"/>
        </w:rPr>
      </w:pPr>
      <w:r w:rsidRPr="00692FA1">
        <w:rPr>
          <w:szCs w:val="22"/>
        </w:rPr>
        <w:t xml:space="preserve">.1      </w:t>
      </w:r>
      <w:r w:rsidR="0030139F">
        <w:rPr>
          <w:szCs w:val="22"/>
        </w:rPr>
        <w:tab/>
      </w:r>
      <w:r w:rsidRPr="00692FA1">
        <w:rPr>
          <w:szCs w:val="22"/>
        </w:rPr>
        <w:t>provide feebates for the prevention of up to 100 million tonnes of CO</w:t>
      </w:r>
      <w:r w:rsidRPr="00692FA1">
        <w:rPr>
          <w:szCs w:val="22"/>
          <w:vertAlign w:val="subscript"/>
        </w:rPr>
        <w:t>2</w:t>
      </w:r>
      <w:r w:rsidRPr="00692FA1">
        <w:rPr>
          <w:szCs w:val="22"/>
        </w:rPr>
        <w:t>e emissions due to the use by ships of zero and near-zero GHG energy sources, at the feebate rate specified by regulation 41.1 of this Annex [for example, US$100 per tonne of CO</w:t>
      </w:r>
      <w:r w:rsidRPr="00692FA1">
        <w:rPr>
          <w:szCs w:val="22"/>
          <w:vertAlign w:val="subscript"/>
        </w:rPr>
        <w:t>2</w:t>
      </w:r>
      <w:r w:rsidRPr="00692FA1">
        <w:rPr>
          <w:szCs w:val="22"/>
        </w:rPr>
        <w:t>e prevented</w:t>
      </w:r>
      <w:r w:rsidR="00035F08">
        <w:rPr>
          <w:szCs w:val="22"/>
        </w:rPr>
        <w:t>,</w:t>
      </w:r>
      <w:r w:rsidRPr="00692FA1">
        <w:rPr>
          <w:szCs w:val="22"/>
        </w:rPr>
        <w:t xml:space="preserve"> </w:t>
      </w:r>
      <w:r w:rsidR="001A061D">
        <w:rPr>
          <w:szCs w:val="22"/>
        </w:rPr>
        <w:t>calculated on</w:t>
      </w:r>
      <w:r w:rsidRPr="00692FA1">
        <w:rPr>
          <w:szCs w:val="22"/>
        </w:rPr>
        <w:t xml:space="preserve"> a WTW basis</w:t>
      </w:r>
      <w:r w:rsidR="00035F08">
        <w:rPr>
          <w:szCs w:val="22"/>
        </w:rPr>
        <w:t>,</w:t>
      </w:r>
      <w:r w:rsidRPr="00692FA1">
        <w:rPr>
          <w:szCs w:val="22"/>
        </w:rPr>
        <w:t xml:space="preserve"> by use of eligible zero/near-zero energy sources]; and</w:t>
      </w:r>
    </w:p>
    <w:p w14:paraId="0B8D6AFD" w14:textId="77777777" w:rsidR="00901DE0" w:rsidRPr="0030139F" w:rsidRDefault="00901DE0" w:rsidP="00901DE0">
      <w:pPr>
        <w:ind w:left="1701" w:hanging="850"/>
        <w:rPr>
          <w:szCs w:val="22"/>
        </w:rPr>
      </w:pPr>
      <w:r w:rsidRPr="00692FA1">
        <w:rPr>
          <w:szCs w:val="22"/>
        </w:rPr>
        <w:t> </w:t>
      </w:r>
    </w:p>
    <w:p w14:paraId="4B4E23CE" w14:textId="7E0E9A42" w:rsidR="00901DE0" w:rsidRPr="0030139F" w:rsidRDefault="00901DE0" w:rsidP="00901DE0">
      <w:pPr>
        <w:ind w:left="1701" w:hanging="850"/>
        <w:rPr>
          <w:szCs w:val="22"/>
        </w:rPr>
      </w:pPr>
      <w:r w:rsidRPr="00692FA1">
        <w:rPr>
          <w:szCs w:val="22"/>
        </w:rPr>
        <w:t>.2     </w:t>
      </w:r>
      <w:r w:rsidR="0030139F">
        <w:rPr>
          <w:szCs w:val="22"/>
        </w:rPr>
        <w:tab/>
      </w:r>
      <w:r w:rsidRPr="00692FA1">
        <w:rPr>
          <w:szCs w:val="22"/>
        </w:rPr>
        <w:t>provide the sum to be allocated annually to the IMO Net Zero Shipping Fund, in accordance with regulation 39.2 of this Annex, [i.e. 20% of the revenue required to fund feebates for the prevention of up to 100 million tonnes of CO</w:t>
      </w:r>
      <w:r w:rsidRPr="00692FA1">
        <w:rPr>
          <w:szCs w:val="22"/>
          <w:vertAlign w:val="subscript"/>
        </w:rPr>
        <w:t>2</w:t>
      </w:r>
      <w:r w:rsidRPr="00692FA1">
        <w:rPr>
          <w:szCs w:val="22"/>
        </w:rPr>
        <w:t>e emissions per year] unless feebates need to be provided for the prevention of more than 100 million tonnes of CO</w:t>
      </w:r>
      <w:r w:rsidRPr="00692FA1">
        <w:rPr>
          <w:szCs w:val="22"/>
          <w:vertAlign w:val="subscript"/>
        </w:rPr>
        <w:t>2</w:t>
      </w:r>
      <w:r w:rsidRPr="00692FA1">
        <w:rPr>
          <w:szCs w:val="22"/>
        </w:rPr>
        <w:t>e emissions in any calendar year.”</w:t>
      </w:r>
    </w:p>
    <w:p w14:paraId="0FC08302" w14:textId="77777777" w:rsidR="00901DE0" w:rsidRPr="0030139F" w:rsidRDefault="00901DE0" w:rsidP="00901DE0">
      <w:pPr>
        <w:rPr>
          <w:szCs w:val="22"/>
        </w:rPr>
      </w:pPr>
      <w:r w:rsidRPr="00692FA1">
        <w:rPr>
          <w:szCs w:val="22"/>
        </w:rPr>
        <w:t> </w:t>
      </w:r>
    </w:p>
    <w:p w14:paraId="676EB027" w14:textId="23078C1C" w:rsidR="00901DE0" w:rsidRPr="003668B2" w:rsidRDefault="00901DE0" w:rsidP="00901DE0">
      <w:pPr>
        <w:rPr>
          <w:szCs w:val="22"/>
        </w:rPr>
      </w:pPr>
      <w:r w:rsidRPr="00692FA1">
        <w:rPr>
          <w:szCs w:val="22"/>
        </w:rPr>
        <w:t>66</w:t>
      </w:r>
      <w:r w:rsidR="007E56A1">
        <w:rPr>
          <w:color w:val="FF0000"/>
          <w:szCs w:val="22"/>
        </w:rPr>
        <w:tab/>
      </w:r>
      <w:r w:rsidRPr="00692FA1">
        <w:rPr>
          <w:szCs w:val="22"/>
        </w:rPr>
        <w:t>Using this rationale, the quantum of the GHG fee (i.e. in this illustrative example, US$18.75 per tonne of CO</w:t>
      </w:r>
      <w:r w:rsidRPr="00692FA1">
        <w:rPr>
          <w:szCs w:val="22"/>
          <w:vertAlign w:val="subscript"/>
        </w:rPr>
        <w:t>2</w:t>
      </w:r>
      <w:r w:rsidRPr="00692FA1">
        <w:rPr>
          <w:szCs w:val="22"/>
        </w:rPr>
        <w:t>e emitted, equivalent to US$60 per tonne of conventional fuel oil consumed) is determined as follows:</w:t>
      </w:r>
    </w:p>
    <w:p w14:paraId="1C68AC80" w14:textId="77777777" w:rsidR="00901DE0" w:rsidRPr="003668B2" w:rsidRDefault="00901DE0" w:rsidP="00901DE0">
      <w:pPr>
        <w:rPr>
          <w:szCs w:val="22"/>
        </w:rPr>
      </w:pPr>
      <w:r w:rsidRPr="00692FA1">
        <w:rPr>
          <w:szCs w:val="22"/>
        </w:rPr>
        <w:t> </w:t>
      </w:r>
    </w:p>
    <w:p w14:paraId="76AE664A" w14:textId="7CF8C4F5" w:rsidR="00901DE0" w:rsidRPr="003668B2" w:rsidRDefault="00901DE0" w:rsidP="00901DE0">
      <w:pPr>
        <w:ind w:left="1700" w:hanging="850"/>
        <w:rPr>
          <w:szCs w:val="22"/>
        </w:rPr>
      </w:pPr>
      <w:r w:rsidRPr="00692FA1">
        <w:rPr>
          <w:szCs w:val="22"/>
        </w:rPr>
        <w:t xml:space="preserve">.1      </w:t>
      </w:r>
      <w:r w:rsidR="003668B2" w:rsidRPr="00692FA1">
        <w:rPr>
          <w:szCs w:val="22"/>
        </w:rPr>
        <w:tab/>
      </w:r>
      <w:r w:rsidRPr="00692FA1">
        <w:rPr>
          <w:szCs w:val="22"/>
        </w:rPr>
        <w:t>100 million tonnes of CO</w:t>
      </w:r>
      <w:r w:rsidRPr="00692FA1">
        <w:rPr>
          <w:szCs w:val="22"/>
          <w:vertAlign w:val="subscript"/>
        </w:rPr>
        <w:t>2</w:t>
      </w:r>
      <w:r w:rsidRPr="00692FA1">
        <w:rPr>
          <w:szCs w:val="22"/>
        </w:rPr>
        <w:t xml:space="preserve">e per year, in line with the upper end of the 2030 ‘energy target’, represents 10% of total annual emissions from international </w:t>
      </w:r>
      <w:r w:rsidRPr="00692FA1">
        <w:rPr>
          <w:szCs w:val="22"/>
        </w:rPr>
        <w:lastRenderedPageBreak/>
        <w:t>shipping if these are taken, for the purposes of the regulation, to be 1 billion tonnes of CO</w:t>
      </w:r>
      <w:r w:rsidRPr="00692FA1">
        <w:rPr>
          <w:szCs w:val="22"/>
          <w:vertAlign w:val="subscript"/>
        </w:rPr>
        <w:t>2</w:t>
      </w:r>
      <w:r w:rsidRPr="00692FA1">
        <w:rPr>
          <w:szCs w:val="22"/>
        </w:rPr>
        <w:t xml:space="preserve">e per year (in line with the estimates in the Fourth IMO GHG Study); </w:t>
      </w:r>
    </w:p>
    <w:p w14:paraId="1B972324" w14:textId="77777777" w:rsidR="00901DE0" w:rsidRPr="003668B2" w:rsidRDefault="00901DE0" w:rsidP="00901DE0">
      <w:pPr>
        <w:ind w:left="850" w:hanging="850"/>
        <w:rPr>
          <w:szCs w:val="22"/>
        </w:rPr>
      </w:pPr>
      <w:r w:rsidRPr="00692FA1">
        <w:rPr>
          <w:szCs w:val="22"/>
        </w:rPr>
        <w:t> </w:t>
      </w:r>
    </w:p>
    <w:p w14:paraId="7C2807DB" w14:textId="1E09B561" w:rsidR="00901DE0" w:rsidRDefault="00901DE0" w:rsidP="00A16F4F">
      <w:pPr>
        <w:ind w:left="1700" w:hanging="850"/>
        <w:rPr>
          <w:szCs w:val="22"/>
        </w:rPr>
      </w:pPr>
      <w:r w:rsidRPr="00692FA1">
        <w:rPr>
          <w:szCs w:val="22"/>
        </w:rPr>
        <w:t xml:space="preserve">.2      </w:t>
      </w:r>
      <w:r w:rsidR="003668B2" w:rsidRPr="00692FA1">
        <w:rPr>
          <w:szCs w:val="22"/>
        </w:rPr>
        <w:tab/>
      </w:r>
      <w:r w:rsidR="0053253E">
        <w:rPr>
          <w:szCs w:val="22"/>
        </w:rPr>
        <w:t>red</w:t>
      </w:r>
      <w:r w:rsidR="00884C18">
        <w:rPr>
          <w:szCs w:val="22"/>
        </w:rPr>
        <w:t xml:space="preserve">ucing </w:t>
      </w:r>
      <w:r w:rsidRPr="00692FA1">
        <w:rPr>
          <w:szCs w:val="22"/>
        </w:rPr>
        <w:t xml:space="preserve">total </w:t>
      </w:r>
      <w:r w:rsidR="002440BE" w:rsidRPr="00DF3EE1">
        <w:rPr>
          <w:szCs w:val="22"/>
        </w:rPr>
        <w:t>CO</w:t>
      </w:r>
      <w:r w:rsidR="002440BE" w:rsidRPr="00DF3EE1">
        <w:rPr>
          <w:szCs w:val="22"/>
          <w:vertAlign w:val="subscript"/>
        </w:rPr>
        <w:t>2</w:t>
      </w:r>
      <w:r w:rsidR="002440BE" w:rsidRPr="00DF3EE1">
        <w:rPr>
          <w:szCs w:val="22"/>
        </w:rPr>
        <w:t>e</w:t>
      </w:r>
      <w:r w:rsidR="002440BE" w:rsidRPr="002440BE">
        <w:rPr>
          <w:szCs w:val="22"/>
        </w:rPr>
        <w:t xml:space="preserve"> </w:t>
      </w:r>
      <w:r w:rsidRPr="00692FA1">
        <w:rPr>
          <w:szCs w:val="22"/>
        </w:rPr>
        <w:t xml:space="preserve">emissions from international shipping </w:t>
      </w:r>
      <w:r w:rsidR="00884C18">
        <w:rPr>
          <w:szCs w:val="22"/>
        </w:rPr>
        <w:t xml:space="preserve">by </w:t>
      </w:r>
      <w:r w:rsidR="00884C18" w:rsidRPr="00DF3EE1">
        <w:rPr>
          <w:szCs w:val="22"/>
        </w:rPr>
        <w:t xml:space="preserve">100 million tonnes </w:t>
      </w:r>
      <w:r w:rsidR="00884C18">
        <w:rPr>
          <w:szCs w:val="22"/>
        </w:rPr>
        <w:t xml:space="preserve">is </w:t>
      </w:r>
      <w:r w:rsidRPr="00692FA1">
        <w:rPr>
          <w:szCs w:val="22"/>
        </w:rPr>
        <w:t xml:space="preserve">calculated on </w:t>
      </w:r>
      <w:r w:rsidR="00612C66">
        <w:rPr>
          <w:szCs w:val="22"/>
        </w:rPr>
        <w:t xml:space="preserve">a </w:t>
      </w:r>
      <w:r w:rsidRPr="00692FA1">
        <w:rPr>
          <w:szCs w:val="22"/>
        </w:rPr>
        <w:t>TTW basis</w:t>
      </w:r>
      <w:r w:rsidR="00711684">
        <w:rPr>
          <w:szCs w:val="22"/>
        </w:rPr>
        <w:t xml:space="preserve">. </w:t>
      </w:r>
      <w:r w:rsidRPr="00692FA1">
        <w:rPr>
          <w:szCs w:val="22"/>
        </w:rPr>
        <w:t>However, if use of eligible zero/near-zero energy sources is rewarded on a WTW basis, the revenue which needs to be generated to prevent up to 100 million tonnes of CO</w:t>
      </w:r>
      <w:r w:rsidRPr="00692FA1">
        <w:rPr>
          <w:szCs w:val="22"/>
          <w:vertAlign w:val="subscript"/>
        </w:rPr>
        <w:t>2</w:t>
      </w:r>
      <w:r w:rsidRPr="00692FA1">
        <w:rPr>
          <w:szCs w:val="22"/>
        </w:rPr>
        <w:t>e emissions per year on a TTW basis</w:t>
      </w:r>
      <w:r w:rsidR="008C22BA">
        <w:rPr>
          <w:szCs w:val="22"/>
        </w:rPr>
        <w:t xml:space="preserve"> </w:t>
      </w:r>
      <w:r w:rsidRPr="00692FA1">
        <w:rPr>
          <w:szCs w:val="22"/>
        </w:rPr>
        <w:t>should be sufficient to reward the prevention of up to 125 million tonnes of CO</w:t>
      </w:r>
      <w:r w:rsidRPr="00692FA1">
        <w:rPr>
          <w:szCs w:val="22"/>
          <w:vertAlign w:val="subscript"/>
        </w:rPr>
        <w:t>2</w:t>
      </w:r>
      <w:r w:rsidRPr="00692FA1">
        <w:rPr>
          <w:szCs w:val="22"/>
        </w:rPr>
        <w:t>e emissions per year on a WTW basis</w:t>
      </w:r>
      <w:r w:rsidR="008C22BA" w:rsidRPr="008C22BA">
        <w:rPr>
          <w:szCs w:val="22"/>
        </w:rPr>
        <w:t xml:space="preserve"> </w:t>
      </w:r>
      <w:r w:rsidR="008C22BA" w:rsidRPr="00DF3EE1">
        <w:rPr>
          <w:szCs w:val="22"/>
        </w:rPr>
        <w:t xml:space="preserve">compared to </w:t>
      </w:r>
      <w:r w:rsidR="00485E18">
        <w:rPr>
          <w:szCs w:val="22"/>
        </w:rPr>
        <w:t xml:space="preserve">consuming </w:t>
      </w:r>
      <w:r w:rsidR="008C22BA" w:rsidRPr="00DF3EE1">
        <w:rPr>
          <w:szCs w:val="22"/>
        </w:rPr>
        <w:t>conventional liquid fuel oil</w:t>
      </w:r>
      <w:r w:rsidR="00485E18">
        <w:rPr>
          <w:szCs w:val="22"/>
        </w:rPr>
        <w:t xml:space="preserve">. This </w:t>
      </w:r>
      <w:r w:rsidRPr="00692FA1">
        <w:rPr>
          <w:szCs w:val="22"/>
        </w:rPr>
        <w:t>assu</w:t>
      </w:r>
      <w:r w:rsidR="00485E18">
        <w:rPr>
          <w:szCs w:val="22"/>
        </w:rPr>
        <w:t>mes</w:t>
      </w:r>
      <w:r w:rsidRPr="00692FA1">
        <w:rPr>
          <w:szCs w:val="22"/>
        </w:rPr>
        <w:t xml:space="preserve"> a WTW </w:t>
      </w:r>
      <w:r w:rsidR="00A10353">
        <w:rPr>
          <w:szCs w:val="22"/>
        </w:rPr>
        <w:t>CO</w:t>
      </w:r>
      <w:r w:rsidR="00A10353" w:rsidRPr="00692FA1">
        <w:rPr>
          <w:szCs w:val="22"/>
          <w:vertAlign w:val="subscript"/>
        </w:rPr>
        <w:t>2</w:t>
      </w:r>
      <w:r w:rsidR="00A10353">
        <w:rPr>
          <w:szCs w:val="22"/>
        </w:rPr>
        <w:t xml:space="preserve">e </w:t>
      </w:r>
      <w:r w:rsidRPr="00692FA1">
        <w:rPr>
          <w:szCs w:val="22"/>
        </w:rPr>
        <w:t xml:space="preserve">conversion factor for </w:t>
      </w:r>
      <w:r w:rsidR="00B7624F">
        <w:rPr>
          <w:szCs w:val="22"/>
        </w:rPr>
        <w:t xml:space="preserve">one tonne of </w:t>
      </w:r>
      <w:r w:rsidRPr="00692FA1">
        <w:rPr>
          <w:szCs w:val="22"/>
        </w:rPr>
        <w:t>conventional liquid fuel oil</w:t>
      </w:r>
      <w:r w:rsidR="009425CD">
        <w:rPr>
          <w:szCs w:val="22"/>
        </w:rPr>
        <w:t xml:space="preserve"> co</w:t>
      </w:r>
      <w:r w:rsidR="001955DD">
        <w:rPr>
          <w:szCs w:val="22"/>
        </w:rPr>
        <w:t>n</w:t>
      </w:r>
      <w:r w:rsidR="009425CD">
        <w:rPr>
          <w:szCs w:val="22"/>
        </w:rPr>
        <w:t>sumed</w:t>
      </w:r>
      <w:r w:rsidRPr="00692FA1">
        <w:rPr>
          <w:szCs w:val="22"/>
        </w:rPr>
        <w:t xml:space="preserve"> of 4.0 compared to 3.2 on a TTW basis (1.25 multiplied by 3.2 equals 4.0); </w:t>
      </w:r>
    </w:p>
    <w:p w14:paraId="3D93C5B4" w14:textId="77777777" w:rsidR="00E17D87" w:rsidRPr="009604E3" w:rsidRDefault="00E17D87" w:rsidP="00A16F4F">
      <w:pPr>
        <w:ind w:left="1700" w:hanging="850"/>
        <w:rPr>
          <w:szCs w:val="22"/>
        </w:rPr>
      </w:pPr>
    </w:p>
    <w:p w14:paraId="26C269A7" w14:textId="0C399BAF" w:rsidR="00901DE0" w:rsidRPr="00515152" w:rsidRDefault="00901DE0" w:rsidP="00901DE0">
      <w:pPr>
        <w:ind w:left="1700" w:hanging="849"/>
        <w:rPr>
          <w:szCs w:val="22"/>
        </w:rPr>
      </w:pPr>
      <w:r w:rsidRPr="00692FA1">
        <w:rPr>
          <w:color w:val="FF0000"/>
          <w:szCs w:val="22"/>
        </w:rPr>
        <w:t>.</w:t>
      </w:r>
      <w:r w:rsidR="002A0B2B" w:rsidRPr="00692FA1">
        <w:rPr>
          <w:szCs w:val="22"/>
        </w:rPr>
        <w:t>3</w:t>
      </w:r>
      <w:r w:rsidR="002A0B2B">
        <w:rPr>
          <w:color w:val="FF0000"/>
          <w:szCs w:val="22"/>
        </w:rPr>
        <w:tab/>
      </w:r>
      <w:r w:rsidRPr="00692FA1">
        <w:rPr>
          <w:szCs w:val="22"/>
        </w:rPr>
        <w:t>if the reward rate specified in proposed regulation 41.1 was set at, for example, US$100 per tonne of CO</w:t>
      </w:r>
      <w:r w:rsidRPr="00692FA1">
        <w:rPr>
          <w:szCs w:val="22"/>
          <w:vertAlign w:val="subscript"/>
        </w:rPr>
        <w:t>2</w:t>
      </w:r>
      <w:r w:rsidRPr="00692FA1">
        <w:rPr>
          <w:szCs w:val="22"/>
        </w:rPr>
        <w:t xml:space="preserve">e emissions prevented by use of eligible zero/near-zero GHG energy sources calculated on a </w:t>
      </w:r>
      <w:r w:rsidRPr="00692FA1">
        <w:rPr>
          <w:szCs w:val="22"/>
          <w:u w:val="single"/>
        </w:rPr>
        <w:t>WTW basis</w:t>
      </w:r>
      <w:r w:rsidRPr="00692FA1">
        <w:rPr>
          <w:szCs w:val="22"/>
        </w:rPr>
        <w:t>, annual revenue required to provide rewards for the CO</w:t>
      </w:r>
      <w:r w:rsidRPr="00692FA1">
        <w:rPr>
          <w:szCs w:val="22"/>
          <w:vertAlign w:val="subscript"/>
        </w:rPr>
        <w:t>2</w:t>
      </w:r>
      <w:r w:rsidRPr="00692FA1">
        <w:rPr>
          <w:szCs w:val="22"/>
        </w:rPr>
        <w:t xml:space="preserve">e emissions prevented would </w:t>
      </w:r>
      <w:r w:rsidR="00614431">
        <w:rPr>
          <w:szCs w:val="22"/>
        </w:rPr>
        <w:t>need to be</w:t>
      </w:r>
      <w:r w:rsidRPr="00692FA1">
        <w:rPr>
          <w:szCs w:val="22"/>
        </w:rPr>
        <w:t xml:space="preserve"> about US$12.5 billion per year (125 million tonnes of CO</w:t>
      </w:r>
      <w:r w:rsidRPr="00692FA1">
        <w:rPr>
          <w:szCs w:val="22"/>
          <w:vertAlign w:val="subscript"/>
        </w:rPr>
        <w:t>2</w:t>
      </w:r>
      <w:r w:rsidRPr="00692FA1">
        <w:rPr>
          <w:szCs w:val="22"/>
        </w:rPr>
        <w:t>e on</w:t>
      </w:r>
      <w:r w:rsidR="002A0B2B">
        <w:rPr>
          <w:szCs w:val="22"/>
        </w:rPr>
        <w:t xml:space="preserve"> a</w:t>
      </w:r>
      <w:r w:rsidRPr="00692FA1">
        <w:rPr>
          <w:szCs w:val="22"/>
        </w:rPr>
        <w:t xml:space="preserve"> WTW basis multiplied by US$100). Assuming</w:t>
      </w:r>
      <w:r w:rsidR="003B3E26">
        <w:rPr>
          <w:szCs w:val="22"/>
        </w:rPr>
        <w:t>, based on a 5,000 GT th</w:t>
      </w:r>
      <w:r w:rsidR="001B2278">
        <w:rPr>
          <w:szCs w:val="22"/>
        </w:rPr>
        <w:t xml:space="preserve">reshold, </w:t>
      </w:r>
      <w:r w:rsidRPr="00692FA1">
        <w:rPr>
          <w:szCs w:val="22"/>
        </w:rPr>
        <w:t>that GHG fees were collected for 800 million tonnes of CO</w:t>
      </w:r>
      <w:r w:rsidRPr="00692FA1">
        <w:rPr>
          <w:szCs w:val="22"/>
          <w:vertAlign w:val="subscript"/>
        </w:rPr>
        <w:t>2</w:t>
      </w:r>
      <w:r w:rsidRPr="00692FA1">
        <w:rPr>
          <w:szCs w:val="22"/>
        </w:rPr>
        <w:t xml:space="preserve">e </w:t>
      </w:r>
      <w:r w:rsidR="00D42CFE">
        <w:rPr>
          <w:szCs w:val="22"/>
        </w:rPr>
        <w:t xml:space="preserve">emitted </w:t>
      </w:r>
      <w:r w:rsidRPr="00692FA1">
        <w:rPr>
          <w:szCs w:val="22"/>
        </w:rPr>
        <w:t xml:space="preserve">per year on a </w:t>
      </w:r>
      <w:r w:rsidRPr="00692FA1">
        <w:rPr>
          <w:szCs w:val="22"/>
          <w:u w:val="single"/>
        </w:rPr>
        <w:t>TTW</w:t>
      </w:r>
      <w:r w:rsidRPr="00692FA1">
        <w:rPr>
          <w:szCs w:val="22"/>
        </w:rPr>
        <w:t xml:space="preserve"> basis</w:t>
      </w:r>
      <w:r w:rsidR="00B4658F">
        <w:rPr>
          <w:szCs w:val="22"/>
        </w:rPr>
        <w:t xml:space="preserve"> (rather than </w:t>
      </w:r>
      <w:r w:rsidR="005D5C51">
        <w:rPr>
          <w:szCs w:val="22"/>
        </w:rPr>
        <w:t xml:space="preserve">for </w:t>
      </w:r>
      <w:r w:rsidR="00B4658F">
        <w:rPr>
          <w:szCs w:val="22"/>
        </w:rPr>
        <w:t>1 billion tonnes per year</w:t>
      </w:r>
      <w:r w:rsidR="005D5C51">
        <w:rPr>
          <w:szCs w:val="22"/>
        </w:rPr>
        <w:t>)</w:t>
      </w:r>
      <w:r w:rsidR="00B4658F">
        <w:rPr>
          <w:szCs w:val="22"/>
        </w:rPr>
        <w:t xml:space="preserve"> </w:t>
      </w:r>
      <w:r w:rsidR="008D0A18">
        <w:rPr>
          <w:szCs w:val="22"/>
        </w:rPr>
        <w:t xml:space="preserve">generating </w:t>
      </w:r>
      <w:r w:rsidR="008B4669" w:rsidRPr="00692FA1">
        <w:rPr>
          <w:szCs w:val="22"/>
        </w:rPr>
        <w:t xml:space="preserve">US$12.5 billion per year </w:t>
      </w:r>
      <w:r w:rsidRPr="00692FA1">
        <w:rPr>
          <w:szCs w:val="22"/>
        </w:rPr>
        <w:t>would require the GHG fee to be set at about US$15.625 per tonne of CO</w:t>
      </w:r>
      <w:r w:rsidRPr="00692FA1">
        <w:rPr>
          <w:szCs w:val="22"/>
          <w:vertAlign w:val="subscript"/>
        </w:rPr>
        <w:t>2</w:t>
      </w:r>
      <w:r w:rsidRPr="00692FA1">
        <w:rPr>
          <w:szCs w:val="22"/>
        </w:rPr>
        <w:t>e emitted (800 million multiplied by US$15.625 equals US$</w:t>
      </w:r>
      <w:r w:rsidR="003E6595">
        <w:rPr>
          <w:szCs w:val="22"/>
        </w:rPr>
        <w:t>12.5</w:t>
      </w:r>
      <w:r w:rsidRPr="00692FA1">
        <w:rPr>
          <w:szCs w:val="22"/>
        </w:rPr>
        <w:t xml:space="preserve"> billion); and</w:t>
      </w:r>
    </w:p>
    <w:p w14:paraId="0B5BE059" w14:textId="77777777" w:rsidR="00901DE0" w:rsidRPr="0030139F" w:rsidRDefault="00901DE0" w:rsidP="00901DE0">
      <w:pPr>
        <w:ind w:left="1700" w:hanging="850"/>
        <w:rPr>
          <w:szCs w:val="22"/>
        </w:rPr>
      </w:pPr>
      <w:r w:rsidRPr="00692FA1">
        <w:rPr>
          <w:color w:val="FF0000"/>
          <w:szCs w:val="22"/>
        </w:rPr>
        <w:t> </w:t>
      </w:r>
    </w:p>
    <w:p w14:paraId="066AA1DB" w14:textId="44A8D622" w:rsidR="00901DE0" w:rsidRDefault="00901DE0" w:rsidP="00692FA1">
      <w:pPr>
        <w:ind w:left="1700" w:hanging="850"/>
      </w:pPr>
      <w:r w:rsidRPr="00692FA1">
        <w:rPr>
          <w:szCs w:val="22"/>
        </w:rPr>
        <w:t>.</w:t>
      </w:r>
      <w:r w:rsidR="002B04AF" w:rsidRPr="00692FA1">
        <w:rPr>
          <w:szCs w:val="22"/>
        </w:rPr>
        <w:t>4</w:t>
      </w:r>
      <w:r w:rsidRPr="00692FA1">
        <w:rPr>
          <w:szCs w:val="22"/>
        </w:rPr>
        <w:t xml:space="preserve">      </w:t>
      </w:r>
      <w:r w:rsidR="002B04AF">
        <w:rPr>
          <w:color w:val="FF0000"/>
          <w:szCs w:val="22"/>
        </w:rPr>
        <w:tab/>
      </w:r>
      <w:r w:rsidR="002B04AF" w:rsidRPr="00692FA1">
        <w:rPr>
          <w:szCs w:val="22"/>
        </w:rPr>
        <w:t>i</w:t>
      </w:r>
      <w:r w:rsidRPr="00692FA1">
        <w:rPr>
          <w:szCs w:val="22"/>
        </w:rPr>
        <w:t>f it was also agreed that a sum equivalent to 20% of the total revenue to be collected for the purpose of funding feebates each year should be allocated to the IMO Net Zero Shipping Fund, this would require the GHG fee to be set at US$18.75 per tonne of CO</w:t>
      </w:r>
      <w:r w:rsidRPr="00692FA1">
        <w:rPr>
          <w:szCs w:val="22"/>
          <w:vertAlign w:val="subscript"/>
        </w:rPr>
        <w:t>2</w:t>
      </w:r>
      <w:r w:rsidRPr="00692FA1">
        <w:rPr>
          <w:szCs w:val="22"/>
        </w:rPr>
        <w:t xml:space="preserve">e (20% of $15.625 equals US$3.125, which in total equals US$18.75), with some US$2.5 billion per year (20% of US$12.5 billion) being allocated to the Fund. </w:t>
      </w:r>
      <w:r w:rsidR="008B4669">
        <w:rPr>
          <w:szCs w:val="22"/>
        </w:rPr>
        <w:t>`</w:t>
      </w:r>
    </w:p>
    <w:p w14:paraId="35D63712" w14:textId="77777777" w:rsidR="00901DE0" w:rsidRDefault="00901DE0" w:rsidP="00EA3929">
      <w:pPr>
        <w:keepNext/>
        <w:keepLines/>
        <w:tabs>
          <w:tab w:val="clear" w:pos="851"/>
        </w:tabs>
      </w:pPr>
    </w:p>
    <w:p w14:paraId="44F181C7" w14:textId="400B07AE" w:rsidR="008E1682" w:rsidRDefault="008E1682" w:rsidP="008E1682">
      <w:pPr>
        <w:tabs>
          <w:tab w:val="clear" w:pos="851"/>
        </w:tabs>
      </w:pPr>
      <w:r>
        <w:t>6</w:t>
      </w:r>
      <w:r w:rsidR="003624E7">
        <w:t>7</w:t>
      </w:r>
      <w:r>
        <w:tab/>
        <w:t xml:space="preserve">As mentioned above, the GHG fee per </w:t>
      </w:r>
      <w:r w:rsidRPr="0088676E">
        <w:rPr>
          <w:u w:val="single"/>
        </w:rPr>
        <w:t>tonne of fuel consumed</w:t>
      </w:r>
      <w:r>
        <w:t>, for different fuel types</w:t>
      </w:r>
      <w:r w:rsidR="00963481">
        <w:t>,</w:t>
      </w:r>
      <w:r>
        <w:t xml:space="preserve"> will be based on the CO</w:t>
      </w:r>
      <w:r w:rsidRPr="00D62881">
        <w:rPr>
          <w:vertAlign w:val="subscript"/>
        </w:rPr>
        <w:t>2</w:t>
      </w:r>
      <w:r>
        <w:t xml:space="preserve">e conversion factors as determined by the LCA Guidelines, and will be set out in the draft Guidelines </w:t>
      </w:r>
      <w:r w:rsidR="001E55CB">
        <w:t xml:space="preserve">on GHG fees </w:t>
      </w:r>
      <w:r>
        <w:t xml:space="preserve">included with annex 2 of this document.  </w:t>
      </w:r>
    </w:p>
    <w:p w14:paraId="000C8B4F" w14:textId="77777777" w:rsidR="008E1682" w:rsidRDefault="008E1682" w:rsidP="008E1682">
      <w:pPr>
        <w:tabs>
          <w:tab w:val="clear" w:pos="851"/>
        </w:tabs>
      </w:pPr>
    </w:p>
    <w:p w14:paraId="19425167" w14:textId="77777777" w:rsidR="008E1682" w:rsidRPr="00D62881" w:rsidRDefault="008E1682" w:rsidP="008E1682">
      <w:pPr>
        <w:tabs>
          <w:tab w:val="clear" w:pos="851"/>
        </w:tabs>
        <w:rPr>
          <w:b/>
          <w:bCs/>
          <w:i/>
          <w:iCs/>
        </w:rPr>
      </w:pPr>
      <w:r w:rsidRPr="00D62881">
        <w:rPr>
          <w:b/>
          <w:bCs/>
          <w:i/>
          <w:iCs/>
        </w:rPr>
        <w:t xml:space="preserve">Collection of GHG fees </w:t>
      </w:r>
    </w:p>
    <w:p w14:paraId="20399CEF" w14:textId="77777777" w:rsidR="008E1682" w:rsidRDefault="008E1682" w:rsidP="008E1682">
      <w:pPr>
        <w:tabs>
          <w:tab w:val="clear" w:pos="851"/>
        </w:tabs>
      </w:pPr>
    </w:p>
    <w:p w14:paraId="60E036FE" w14:textId="718858EC" w:rsidR="009E37A2" w:rsidRPr="00C345D6" w:rsidRDefault="008E1682" w:rsidP="009E37A2">
      <w:pPr>
        <w:rPr>
          <w:rFonts w:cs="Arial"/>
          <w:b/>
          <w:bCs/>
          <w:color w:val="000000" w:themeColor="text1"/>
          <w:szCs w:val="22"/>
        </w:rPr>
      </w:pPr>
      <w:r>
        <w:t>6</w:t>
      </w:r>
      <w:r w:rsidR="00A4501C">
        <w:t>8</w:t>
      </w:r>
      <w:r>
        <w:tab/>
        <w:t xml:space="preserve">The process for collecting GHG fees via the </w:t>
      </w:r>
      <w:r w:rsidR="00561740">
        <w:t>“</w:t>
      </w:r>
      <w:r>
        <w:t>mechanism</w:t>
      </w:r>
      <w:r w:rsidR="00561740">
        <w:t>”</w:t>
      </w:r>
      <w:r>
        <w:t xml:space="preserve"> is broadly unchanged from that previously proposed in document ISWG-GHG 16/2/3 (Bahamas et al.) which was derived from the IMRB/IMSF proposal set out in document MEPC 76/7/7 (Denmark et al.) for which there was previously widespread support in the Committee. But</w:t>
      </w:r>
      <w:r w:rsidR="00CD347A">
        <w:t xml:space="preserve"> further </w:t>
      </w:r>
      <w:r>
        <w:t>detail ha</w:t>
      </w:r>
      <w:r w:rsidR="004A4EE7">
        <w:t>s</w:t>
      </w:r>
      <w:r>
        <w:t xml:space="preserve"> </w:t>
      </w:r>
      <w:r w:rsidR="004A4EE7">
        <w:t xml:space="preserve">been </w:t>
      </w:r>
      <w:r>
        <w:t xml:space="preserve">added to the </w:t>
      </w:r>
      <w:r w:rsidR="004A4EE7">
        <w:t xml:space="preserve">proposed </w:t>
      </w:r>
      <w:r>
        <w:t xml:space="preserve">regulation, taken from what was previously presented as draft guidelines, so that the </w:t>
      </w:r>
      <w:r w:rsidR="009D4A04">
        <w:t xml:space="preserve">Working </w:t>
      </w:r>
      <w:r>
        <w:t>Group can see the whole process in one place.</w:t>
      </w:r>
      <w:r w:rsidR="00F249C6">
        <w:t xml:space="preserve"> </w:t>
      </w:r>
      <w:r w:rsidR="00531B83">
        <w:t>T</w:t>
      </w:r>
      <w:r w:rsidR="009E37A2">
        <w:t xml:space="preserve">ext is </w:t>
      </w:r>
      <w:r w:rsidR="00531B83">
        <w:t xml:space="preserve">also </w:t>
      </w:r>
      <w:r w:rsidR="009E37A2">
        <w:t xml:space="preserve">included in proposed </w:t>
      </w:r>
      <w:r w:rsidR="00531B83">
        <w:rPr>
          <w:rFonts w:cs="Arial"/>
          <w:color w:val="000000" w:themeColor="text1"/>
          <w:szCs w:val="22"/>
        </w:rPr>
        <w:t>r</w:t>
      </w:r>
      <w:r w:rsidR="009E37A2" w:rsidRPr="00C345D6">
        <w:rPr>
          <w:rFonts w:cs="Arial"/>
          <w:color w:val="000000" w:themeColor="text1"/>
          <w:szCs w:val="22"/>
        </w:rPr>
        <w:t xml:space="preserve">egulation </w:t>
      </w:r>
      <w:r w:rsidR="002A1793">
        <w:rPr>
          <w:rFonts w:cs="Arial"/>
          <w:color w:val="000000" w:themeColor="text1"/>
          <w:szCs w:val="22"/>
        </w:rPr>
        <w:t xml:space="preserve">38 </w:t>
      </w:r>
      <w:r w:rsidR="002A1793">
        <w:rPr>
          <w:rFonts w:cs="Arial"/>
          <w:i/>
          <w:iCs/>
          <w:color w:val="000000" w:themeColor="text1"/>
          <w:szCs w:val="22"/>
        </w:rPr>
        <w:t xml:space="preserve">– </w:t>
      </w:r>
      <w:r w:rsidR="00CB78E7" w:rsidRPr="00E3618B">
        <w:rPr>
          <w:rFonts w:cs="Arial"/>
          <w:i/>
          <w:iCs/>
          <w:color w:val="000000" w:themeColor="text1"/>
          <w:szCs w:val="22"/>
        </w:rPr>
        <w:t xml:space="preserve">Maritime GHG </w:t>
      </w:r>
      <w:r w:rsidR="00CB78E7">
        <w:rPr>
          <w:rFonts w:cs="Arial"/>
          <w:i/>
          <w:iCs/>
          <w:color w:val="000000" w:themeColor="text1"/>
          <w:szCs w:val="22"/>
        </w:rPr>
        <w:t>e</w:t>
      </w:r>
      <w:r w:rsidR="00CB78E7" w:rsidRPr="00E3618B">
        <w:rPr>
          <w:rFonts w:cs="Arial"/>
          <w:i/>
          <w:iCs/>
          <w:color w:val="000000" w:themeColor="text1"/>
          <w:szCs w:val="22"/>
        </w:rPr>
        <w:t xml:space="preserve">missions </w:t>
      </w:r>
      <w:r w:rsidR="00CB78E7">
        <w:rPr>
          <w:rFonts w:cs="Arial"/>
          <w:i/>
          <w:iCs/>
          <w:color w:val="000000" w:themeColor="text1"/>
          <w:szCs w:val="22"/>
        </w:rPr>
        <w:t>p</w:t>
      </w:r>
      <w:r w:rsidR="00CB78E7" w:rsidRPr="00E3618B">
        <w:rPr>
          <w:rFonts w:cs="Arial"/>
          <w:i/>
          <w:iCs/>
          <w:color w:val="000000" w:themeColor="text1"/>
          <w:szCs w:val="22"/>
        </w:rPr>
        <w:t xml:space="preserve">ricing </w:t>
      </w:r>
      <w:r w:rsidR="00CB78E7">
        <w:rPr>
          <w:rFonts w:cs="Arial"/>
          <w:i/>
          <w:iCs/>
          <w:color w:val="000000" w:themeColor="text1"/>
          <w:szCs w:val="22"/>
        </w:rPr>
        <w:t>m</w:t>
      </w:r>
      <w:r w:rsidR="00CB78E7" w:rsidRPr="00E3618B">
        <w:rPr>
          <w:rFonts w:cs="Arial"/>
          <w:i/>
          <w:iCs/>
          <w:color w:val="000000" w:themeColor="text1"/>
          <w:szCs w:val="22"/>
        </w:rPr>
        <w:t>echanism</w:t>
      </w:r>
      <w:r w:rsidR="00694388">
        <w:rPr>
          <w:rFonts w:cs="Arial"/>
          <w:i/>
          <w:iCs/>
          <w:color w:val="000000" w:themeColor="text1"/>
          <w:szCs w:val="22"/>
        </w:rPr>
        <w:t xml:space="preserve">, </w:t>
      </w:r>
      <w:r w:rsidR="00320CF2" w:rsidRPr="00C345D6">
        <w:rPr>
          <w:rFonts w:cs="Arial"/>
          <w:color w:val="000000" w:themeColor="text1"/>
          <w:szCs w:val="22"/>
        </w:rPr>
        <w:t>to ensure</w:t>
      </w:r>
      <w:r w:rsidR="00320CF2" w:rsidRPr="00C345D6">
        <w:rPr>
          <w:rFonts w:cs="Arial"/>
          <w:b/>
          <w:bCs/>
          <w:color w:val="000000" w:themeColor="text1"/>
          <w:szCs w:val="22"/>
        </w:rPr>
        <w:t xml:space="preserve"> </w:t>
      </w:r>
      <w:r w:rsidR="003042E2">
        <w:rPr>
          <w:rFonts w:cs="Arial"/>
          <w:color w:val="000000" w:themeColor="text1"/>
          <w:szCs w:val="22"/>
        </w:rPr>
        <w:t xml:space="preserve">that </w:t>
      </w:r>
      <w:r w:rsidR="005D1451">
        <w:rPr>
          <w:rFonts w:cs="Arial"/>
          <w:color w:val="000000" w:themeColor="text1"/>
          <w:szCs w:val="22"/>
        </w:rPr>
        <w:t xml:space="preserve">payment of GHG fees </w:t>
      </w:r>
      <w:r w:rsidR="00626455">
        <w:rPr>
          <w:rFonts w:cs="Arial"/>
          <w:color w:val="000000" w:themeColor="text1"/>
          <w:szCs w:val="22"/>
        </w:rPr>
        <w:t xml:space="preserve">will </w:t>
      </w:r>
      <w:r w:rsidR="003042E2">
        <w:rPr>
          <w:rFonts w:cs="Arial"/>
          <w:color w:val="000000" w:themeColor="text1"/>
          <w:szCs w:val="22"/>
        </w:rPr>
        <w:t xml:space="preserve">not be </w:t>
      </w:r>
      <w:r w:rsidR="00626455">
        <w:rPr>
          <w:rFonts w:cs="Arial"/>
          <w:color w:val="000000" w:themeColor="text1"/>
          <w:szCs w:val="22"/>
        </w:rPr>
        <w:t xml:space="preserve">subject to any administrative </w:t>
      </w:r>
      <w:r w:rsidR="00DA2C86">
        <w:rPr>
          <w:rFonts w:cs="Arial"/>
          <w:color w:val="000000" w:themeColor="text1"/>
          <w:szCs w:val="22"/>
        </w:rPr>
        <w:t xml:space="preserve">or other </w:t>
      </w:r>
      <w:r w:rsidR="004F0815">
        <w:rPr>
          <w:rFonts w:cs="Arial"/>
          <w:color w:val="000000" w:themeColor="text1"/>
          <w:szCs w:val="22"/>
        </w:rPr>
        <w:t>charges</w:t>
      </w:r>
      <w:r w:rsidR="00DA2C86">
        <w:rPr>
          <w:rFonts w:cs="Arial"/>
          <w:color w:val="000000" w:themeColor="text1"/>
          <w:szCs w:val="22"/>
        </w:rPr>
        <w:t xml:space="preserve">, for example, </w:t>
      </w:r>
      <w:r w:rsidR="003042E2">
        <w:rPr>
          <w:rFonts w:cs="Arial"/>
          <w:color w:val="000000" w:themeColor="text1"/>
          <w:szCs w:val="22"/>
        </w:rPr>
        <w:t>UK VAT.</w:t>
      </w:r>
      <w:r w:rsidR="009E37A2" w:rsidRPr="00C345D6">
        <w:rPr>
          <w:rFonts w:cs="Arial"/>
          <w:b/>
          <w:bCs/>
          <w:color w:val="000000" w:themeColor="text1"/>
          <w:szCs w:val="22"/>
        </w:rPr>
        <w:t xml:space="preserve">  </w:t>
      </w:r>
    </w:p>
    <w:p w14:paraId="6AF991A6" w14:textId="77777777" w:rsidR="008E1682" w:rsidRDefault="008E1682" w:rsidP="008E1682">
      <w:pPr>
        <w:tabs>
          <w:tab w:val="clear" w:pos="851"/>
        </w:tabs>
      </w:pPr>
    </w:p>
    <w:p w14:paraId="0355765C" w14:textId="450C22F2" w:rsidR="008E1682" w:rsidRDefault="00A4501C" w:rsidP="008E1682">
      <w:pPr>
        <w:tabs>
          <w:tab w:val="clear" w:pos="851"/>
        </w:tabs>
      </w:pPr>
      <w:r>
        <w:t>69</w:t>
      </w:r>
      <w:r w:rsidR="008E1682">
        <w:tab/>
        <w:t xml:space="preserve">How the collection process will operate in practice is also demonstrated by the prototype of the fully automated contribution mechanism, a link to which can be found in document ISWG-GHG 16/2/1 (ICS) – see </w:t>
      </w:r>
      <w:hyperlink r:id="rId10" w:history="1">
        <w:r w:rsidR="008E1682" w:rsidRPr="00D62881">
          <w:rPr>
            <w:rStyle w:val="Hyperlink"/>
          </w:rPr>
          <w:t>Combined sets - ZESF Prototype 2024 (figma.com)</w:t>
        </w:r>
      </w:hyperlink>
      <w:r w:rsidR="008E1682">
        <w:t xml:space="preserve">. It should be noted that the terms used in the fully automated prototype of the collection and reward system have not yet been changed to align with the new suggested regulatory text, </w:t>
      </w:r>
      <w:r w:rsidR="008E1682">
        <w:lastRenderedPageBreak/>
        <w:t>whereby GHG fees (contributions) and feebates (rewards) are made/</w:t>
      </w:r>
      <w:r w:rsidR="007E56A1">
        <w:t>disbursed</w:t>
      </w:r>
      <w:r w:rsidR="008E1682">
        <w:t xml:space="preserve"> via the “mechanism” rather than via the Fund, although this has no implications for the collection and reward process suggested by the co-sponsors. </w:t>
      </w:r>
    </w:p>
    <w:p w14:paraId="00AA4E04" w14:textId="77777777" w:rsidR="008E1682" w:rsidRDefault="008E1682" w:rsidP="008E1682">
      <w:pPr>
        <w:tabs>
          <w:tab w:val="clear" w:pos="851"/>
        </w:tabs>
      </w:pPr>
    </w:p>
    <w:p w14:paraId="207F9179" w14:textId="7CD2957C" w:rsidR="008E1682" w:rsidRDefault="00423601" w:rsidP="008E1682">
      <w:pPr>
        <w:tabs>
          <w:tab w:val="clear" w:pos="851"/>
        </w:tabs>
      </w:pPr>
      <w:r>
        <w:t>7</w:t>
      </w:r>
      <w:r w:rsidR="00A4501C">
        <w:t>0</w:t>
      </w:r>
      <w:r w:rsidR="008E1682">
        <w:tab/>
        <w:t xml:space="preserve">To minimise administrative burdens for governments, the co-sponsors propose that the company, on behalf of the ship, will submit the ship’s annual fuel consumption data directly to the automated “mechanism” by the end of March each calendar year. This is the same date required for submission of </w:t>
      </w:r>
      <w:r w:rsidR="004C0052">
        <w:t xml:space="preserve">fuel </w:t>
      </w:r>
      <w:r w:rsidR="005D141F">
        <w:t xml:space="preserve">consumption </w:t>
      </w:r>
      <w:r w:rsidR="008E1682">
        <w:t xml:space="preserve">data to the ship’s flag State Administration for use with the IMO DCS, i.e. before the Administration issues the ship with the Statement of Compliance (SoC) required by the DCS regulation. However, the date when payment by the ship of the GHG fee is required (including any GHG Surcharge Fee for under-compliance with the fuel standard – see above) corresponds with the date, at the </w:t>
      </w:r>
      <w:r w:rsidR="006C0867">
        <w:t xml:space="preserve">end </w:t>
      </w:r>
      <w:r w:rsidR="008E1682">
        <w:t xml:space="preserve">of May, when the SoC for the DSC must be issued by the Administration, so that any discrepancies </w:t>
      </w:r>
      <w:r w:rsidR="00212033">
        <w:t xml:space="preserve">after the data has been verified </w:t>
      </w:r>
      <w:r w:rsidR="008E1682">
        <w:t xml:space="preserve">should have been dealt with at this point.  </w:t>
      </w:r>
    </w:p>
    <w:p w14:paraId="58FC9444" w14:textId="77777777" w:rsidR="008E1682" w:rsidRDefault="008E1682" w:rsidP="008E1682">
      <w:pPr>
        <w:tabs>
          <w:tab w:val="clear" w:pos="851"/>
        </w:tabs>
      </w:pPr>
    </w:p>
    <w:p w14:paraId="6CD0DAB7" w14:textId="6A8CACCC" w:rsidR="008E1682" w:rsidRDefault="00423601" w:rsidP="008E1682">
      <w:pPr>
        <w:tabs>
          <w:tab w:val="clear" w:pos="851"/>
        </w:tabs>
      </w:pPr>
      <w:r>
        <w:t>7</w:t>
      </w:r>
      <w:r w:rsidR="00A4501C">
        <w:t>1</w:t>
      </w:r>
      <w:r w:rsidR="008E1682">
        <w:tab/>
        <w:t>As soon as the fuel consumption data is inputted by a shipping company, on behalf  of the ship, the automated GHG emissions pricing mechanism will calculate and collect the annual GHG fee due from each ship, based on its annual CO</w:t>
      </w:r>
      <w:r w:rsidR="008E1682" w:rsidRPr="0088676E">
        <w:rPr>
          <w:vertAlign w:val="subscript"/>
        </w:rPr>
        <w:t>2</w:t>
      </w:r>
      <w:r w:rsidR="008E1682">
        <w:t xml:space="preserve">e emissions and, when payment has been received, the </w:t>
      </w:r>
      <w:r w:rsidR="003605BD">
        <w:t>“</w:t>
      </w:r>
      <w:r w:rsidR="008E1682">
        <w:t>mechanism</w:t>
      </w:r>
      <w:r w:rsidR="003605BD">
        <w:t>”</w:t>
      </w:r>
      <w:r w:rsidR="008E1682">
        <w:t xml:space="preserve"> will issue the ship with an Annual Account Statement (confirming payment</w:t>
      </w:r>
      <w:r w:rsidR="002E0CF9">
        <w:t xml:space="preserve"> has been received</w:t>
      </w:r>
      <w:r w:rsidR="008E1682">
        <w:t xml:space="preserve">) which it can then forward to its Administration with a request for an SoC relating to the GHG fee. All that the Administration has to do, at the end of the process – after the SoC related to the DCS has been issued – is check that the </w:t>
      </w:r>
      <w:r w:rsidR="00874972">
        <w:t>fuel consumption</w:t>
      </w:r>
      <w:r w:rsidR="008F47FD">
        <w:t>/CO</w:t>
      </w:r>
      <w:r w:rsidR="008F47FD" w:rsidRPr="008F47FD">
        <w:rPr>
          <w:vertAlign w:val="subscript"/>
        </w:rPr>
        <w:t>2</w:t>
      </w:r>
      <w:r w:rsidR="008F47FD">
        <w:t xml:space="preserve">e emissions </w:t>
      </w:r>
      <w:r w:rsidR="008E1682">
        <w:t xml:space="preserve">data used by the IMO </w:t>
      </w:r>
      <w:r w:rsidR="003C0D3E">
        <w:t>“</w:t>
      </w:r>
      <w:r w:rsidR="008E1682">
        <w:t>mechanism</w:t>
      </w:r>
      <w:r w:rsidR="003C0D3E">
        <w:t>”</w:t>
      </w:r>
      <w:r w:rsidR="008E1682">
        <w:t xml:space="preserve"> to calculate the ship’s annual GHG fee is the same as </w:t>
      </w:r>
      <w:r w:rsidR="00BE5A0B">
        <w:t>th</w:t>
      </w:r>
      <w:r w:rsidR="00874972">
        <w:t>at</w:t>
      </w:r>
      <w:r w:rsidR="008E1682">
        <w:t xml:space="preserve"> </w:t>
      </w:r>
      <w:r w:rsidR="00AC644E">
        <w:t>verified by the Administration (or</w:t>
      </w:r>
      <w:r w:rsidR="00415619">
        <w:t xml:space="preserve"> RO) </w:t>
      </w:r>
      <w:r w:rsidR="008E1682">
        <w:t xml:space="preserve">for use with the DCS, before issuing an SoC to the ship to confirm that the required GHG fee has been transmitted to the IMO </w:t>
      </w:r>
      <w:r w:rsidR="006F6131">
        <w:t>“</w:t>
      </w:r>
      <w:r w:rsidR="008E1682">
        <w:t>mechanism</w:t>
      </w:r>
      <w:r w:rsidR="006F6131">
        <w:t>”</w:t>
      </w:r>
      <w:r w:rsidR="008E1682">
        <w:t xml:space="preserve">. </w:t>
      </w:r>
    </w:p>
    <w:p w14:paraId="2363971E" w14:textId="77777777" w:rsidR="008E1682" w:rsidRDefault="008E1682" w:rsidP="008E1682">
      <w:pPr>
        <w:tabs>
          <w:tab w:val="clear" w:pos="851"/>
        </w:tabs>
      </w:pPr>
    </w:p>
    <w:p w14:paraId="3EA91E75" w14:textId="1B47E1CB" w:rsidR="008E1682" w:rsidRDefault="008C5B3F" w:rsidP="008E1682">
      <w:pPr>
        <w:tabs>
          <w:tab w:val="clear" w:pos="851"/>
        </w:tabs>
      </w:pPr>
      <w:r>
        <w:t>7</w:t>
      </w:r>
      <w:r w:rsidR="00A4501C">
        <w:t>2</w:t>
      </w:r>
      <w:r w:rsidR="008E1682">
        <w:tab/>
        <w:t>The co-sponsors suggest it is important that the GHG fee collection process and the issue of the SoC related to the GHG fee is completed as quickly as possible. This is because the GHG fee, which may need to be recovered by the shipping company from a third party, such as a charterer, may relate to fuel consumption and CO</w:t>
      </w:r>
      <w:r w:rsidR="008E1682" w:rsidRPr="0088676E">
        <w:rPr>
          <w:vertAlign w:val="subscript"/>
        </w:rPr>
        <w:t>2</w:t>
      </w:r>
      <w:r w:rsidR="008E1682">
        <w:t>e emitted more than 12 months in advance of the GHG fee being paid via the</w:t>
      </w:r>
      <w:r w:rsidR="006F6131">
        <w:t xml:space="preserve"> “</w:t>
      </w:r>
      <w:r w:rsidR="008E1682">
        <w:t>mechanism</w:t>
      </w:r>
      <w:r w:rsidR="006F6131">
        <w:t>”</w:t>
      </w:r>
      <w:r w:rsidR="008E1682">
        <w:t xml:space="preserve">. </w:t>
      </w:r>
    </w:p>
    <w:p w14:paraId="7902500F" w14:textId="77777777" w:rsidR="008E1682" w:rsidRDefault="008E1682" w:rsidP="008E1682">
      <w:pPr>
        <w:tabs>
          <w:tab w:val="clear" w:pos="851"/>
        </w:tabs>
      </w:pPr>
    </w:p>
    <w:p w14:paraId="0FFC8A14" w14:textId="740274A0" w:rsidR="008E1682" w:rsidRDefault="007A7572" w:rsidP="00692FA1">
      <w:pPr>
        <w:tabs>
          <w:tab w:val="clear" w:pos="851"/>
        </w:tabs>
      </w:pPr>
      <w:r>
        <w:t>7</w:t>
      </w:r>
      <w:r w:rsidR="00A4501C">
        <w:t>3</w:t>
      </w:r>
      <w:r w:rsidR="008E1682">
        <w:tab/>
        <w:t>Figure 1 below illustrates how the process of collecting GHG fees could work</w:t>
      </w:r>
      <w:r w:rsidR="002A7B79">
        <w:t>.</w:t>
      </w:r>
    </w:p>
    <w:p w14:paraId="6649D770" w14:textId="77777777" w:rsidR="008E1682" w:rsidRDefault="008E1682" w:rsidP="008E1682">
      <w:pPr>
        <w:tabs>
          <w:tab w:val="clear" w:pos="851"/>
        </w:tabs>
      </w:pPr>
    </w:p>
    <w:p w14:paraId="5C1FEB9C" w14:textId="417F92B7" w:rsidR="00AF5D4F" w:rsidRDefault="00AF5D4F" w:rsidP="008E1682">
      <w:pPr>
        <w:tabs>
          <w:tab w:val="clear" w:pos="851"/>
        </w:tabs>
        <w:rPr>
          <w:b/>
          <w:bCs/>
          <w:i/>
          <w:iCs/>
        </w:rPr>
      </w:pPr>
    </w:p>
    <w:p w14:paraId="7FDE0891" w14:textId="17018D49" w:rsidR="00CC0261" w:rsidRDefault="007710AB" w:rsidP="002D43C8">
      <w:pPr>
        <w:keepNext/>
        <w:keepLines/>
        <w:tabs>
          <w:tab w:val="clear" w:pos="851"/>
        </w:tabs>
        <w:jc w:val="center"/>
        <w:rPr>
          <w:b/>
          <w:bCs/>
        </w:rPr>
      </w:pPr>
      <w:r w:rsidRPr="002D43C8">
        <w:rPr>
          <w:b/>
          <w:bCs/>
        </w:rPr>
        <w:lastRenderedPageBreak/>
        <w:t>Figure 1</w:t>
      </w:r>
      <w:r w:rsidR="00E10696" w:rsidRPr="00E10696">
        <w:rPr>
          <w:b/>
          <w:bCs/>
        </w:rPr>
        <w:t xml:space="preserve"> </w:t>
      </w:r>
      <w:r w:rsidR="00E10696" w:rsidRPr="00DF3EE1">
        <w:rPr>
          <w:b/>
          <w:bCs/>
        </w:rPr>
        <w:t>Timelines for compliance</w:t>
      </w:r>
    </w:p>
    <w:p w14:paraId="37294FF3" w14:textId="58176692" w:rsidR="00A86801" w:rsidRDefault="00757055" w:rsidP="002D43C8">
      <w:pPr>
        <w:keepNext/>
        <w:keepLines/>
        <w:tabs>
          <w:tab w:val="clear" w:pos="851"/>
        </w:tabs>
        <w:jc w:val="left"/>
        <w:rPr>
          <w:b/>
          <w:bCs/>
          <w:i/>
          <w:iCs/>
        </w:rPr>
      </w:pPr>
      <w:r>
        <w:rPr>
          <w:noProof/>
        </w:rPr>
        <w:drawing>
          <wp:inline distT="0" distB="0" distL="0" distR="0" wp14:anchorId="7452845C" wp14:editId="66ADD9D6">
            <wp:extent cx="5759450" cy="3239770"/>
            <wp:effectExtent l="0" t="0" r="0" b="0"/>
            <wp:docPr id="16484047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04739"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59450" cy="3239770"/>
                    </a:xfrm>
                    <a:prstGeom prst="rect">
                      <a:avLst/>
                    </a:prstGeom>
                  </pic:spPr>
                </pic:pic>
              </a:graphicData>
            </a:graphic>
          </wp:inline>
        </w:drawing>
      </w:r>
    </w:p>
    <w:p w14:paraId="0B3B924C" w14:textId="5F37DF06" w:rsidR="00A86801" w:rsidRDefault="00A86801" w:rsidP="002D43C8">
      <w:pPr>
        <w:keepNext/>
        <w:keepLines/>
        <w:tabs>
          <w:tab w:val="clear" w:pos="851"/>
        </w:tabs>
        <w:jc w:val="left"/>
        <w:rPr>
          <w:b/>
          <w:bCs/>
          <w:i/>
          <w:iCs/>
        </w:rPr>
      </w:pPr>
      <w:r>
        <w:rPr>
          <w:noProof/>
        </w:rPr>
        <w:drawing>
          <wp:inline distT="0" distB="0" distL="0" distR="0" wp14:anchorId="7D73C75C" wp14:editId="51323E3F">
            <wp:extent cx="5759450" cy="3239770"/>
            <wp:effectExtent l="0" t="0" r="0" b="0"/>
            <wp:docPr id="20552711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71179"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59450" cy="3239770"/>
                    </a:xfrm>
                    <a:prstGeom prst="rect">
                      <a:avLst/>
                    </a:prstGeom>
                  </pic:spPr>
                </pic:pic>
              </a:graphicData>
            </a:graphic>
          </wp:inline>
        </w:drawing>
      </w:r>
    </w:p>
    <w:p w14:paraId="228F761E" w14:textId="77777777" w:rsidR="00245335" w:rsidRDefault="00245335" w:rsidP="002D43C8">
      <w:pPr>
        <w:keepNext/>
        <w:keepLines/>
        <w:tabs>
          <w:tab w:val="clear" w:pos="851"/>
        </w:tabs>
      </w:pPr>
    </w:p>
    <w:p w14:paraId="229211F2" w14:textId="77777777" w:rsidR="002C06DC" w:rsidRDefault="002C06DC" w:rsidP="008E1682">
      <w:pPr>
        <w:tabs>
          <w:tab w:val="clear" w:pos="851"/>
        </w:tabs>
        <w:rPr>
          <w:b/>
          <w:bCs/>
        </w:rPr>
      </w:pPr>
    </w:p>
    <w:p w14:paraId="782E8659" w14:textId="77777777" w:rsidR="005C6E14" w:rsidRPr="00D62881" w:rsidRDefault="005C6E14" w:rsidP="005C6E14">
      <w:pPr>
        <w:tabs>
          <w:tab w:val="clear" w:pos="851"/>
        </w:tabs>
        <w:rPr>
          <w:b/>
          <w:bCs/>
          <w:i/>
          <w:iCs/>
        </w:rPr>
      </w:pPr>
      <w:r w:rsidRPr="00D62881">
        <w:rPr>
          <w:b/>
          <w:bCs/>
          <w:i/>
          <w:iCs/>
        </w:rPr>
        <w:t xml:space="preserve">GHG fees by instalment </w:t>
      </w:r>
    </w:p>
    <w:p w14:paraId="2BE4FB52" w14:textId="77777777" w:rsidR="005C6E14" w:rsidRDefault="005C6E14" w:rsidP="005C6E14">
      <w:pPr>
        <w:tabs>
          <w:tab w:val="clear" w:pos="851"/>
        </w:tabs>
      </w:pPr>
    </w:p>
    <w:p w14:paraId="0A8A3D5A" w14:textId="77777777" w:rsidR="005C6E14" w:rsidRDefault="005C6E14" w:rsidP="005C6E14">
      <w:pPr>
        <w:tabs>
          <w:tab w:val="clear" w:pos="851"/>
        </w:tabs>
      </w:pPr>
      <w:r>
        <w:t>74</w:t>
      </w:r>
      <w:r>
        <w:tab/>
        <w:t xml:space="preserve">The ability of ships to make contributions in advance via instalments, which will make implementation easier for many shipping companies, and charterers that may be responsible for the cost of the fuel and the associated GHG fees, is a feature of the proposed “mechanism” and a provision for this has been included in proposed regulation 40.2. A demonstration of how this could work in practice is shown under the ‘Pay as you go’ function that forms part of the prototype of the automated contribution mechanism included with document </w:t>
      </w:r>
      <w:r>
        <w:br/>
        <w:t xml:space="preserve">ISWG-GHG 16/2/1 (ICS). </w:t>
      </w:r>
    </w:p>
    <w:p w14:paraId="746060E3" w14:textId="77777777" w:rsidR="005C6E14" w:rsidRDefault="005C6E14" w:rsidP="005C6E14">
      <w:pPr>
        <w:tabs>
          <w:tab w:val="clear" w:pos="851"/>
        </w:tabs>
      </w:pPr>
    </w:p>
    <w:p w14:paraId="3071D156" w14:textId="77777777" w:rsidR="005C6E14" w:rsidRPr="00D62881" w:rsidRDefault="005C6E14" w:rsidP="005C6E14">
      <w:pPr>
        <w:tabs>
          <w:tab w:val="clear" w:pos="851"/>
        </w:tabs>
        <w:rPr>
          <w:b/>
          <w:bCs/>
          <w:i/>
          <w:iCs/>
        </w:rPr>
      </w:pPr>
      <w:r w:rsidRPr="00D62881">
        <w:rPr>
          <w:b/>
          <w:bCs/>
          <w:i/>
          <w:iCs/>
        </w:rPr>
        <w:lastRenderedPageBreak/>
        <w:t xml:space="preserve">Refinements to process for calculating and </w:t>
      </w:r>
      <w:r>
        <w:rPr>
          <w:b/>
          <w:bCs/>
          <w:i/>
          <w:iCs/>
        </w:rPr>
        <w:t>disbursing</w:t>
      </w:r>
      <w:r w:rsidRPr="00D62881">
        <w:rPr>
          <w:b/>
          <w:bCs/>
          <w:i/>
          <w:iCs/>
        </w:rPr>
        <w:t xml:space="preserve"> feebates</w:t>
      </w:r>
    </w:p>
    <w:p w14:paraId="1978A73D" w14:textId="77777777" w:rsidR="005C6E14" w:rsidRDefault="005C6E14" w:rsidP="005C6E14">
      <w:pPr>
        <w:tabs>
          <w:tab w:val="clear" w:pos="851"/>
        </w:tabs>
      </w:pPr>
    </w:p>
    <w:p w14:paraId="44B47E37" w14:textId="5652261C" w:rsidR="005C6E14" w:rsidRDefault="005C6E14" w:rsidP="005C6E14">
      <w:pPr>
        <w:tabs>
          <w:tab w:val="clear" w:pos="851"/>
        </w:tabs>
      </w:pPr>
      <w:r>
        <w:t>75</w:t>
      </w:r>
      <w:r>
        <w:tab/>
        <w:t xml:space="preserve">In annex 1 to this document, proposed regulation 41 – </w:t>
      </w:r>
      <w:r w:rsidRPr="00122CF3">
        <w:rPr>
          <w:i/>
          <w:iCs/>
        </w:rPr>
        <w:t>Feebates disbursed via the maritime GHG emissions pricing mechanism</w:t>
      </w:r>
      <w:r>
        <w:t>, the need for Administrations to issue a Feebate Eligibility Confirmation Statement has been added to the process for claiming and receiving a feebate (reward) for the CO</w:t>
      </w:r>
      <w:r w:rsidRPr="00122CF3">
        <w:rPr>
          <w:vertAlign w:val="subscript"/>
        </w:rPr>
        <w:t>2</w:t>
      </w:r>
      <w:r>
        <w:t xml:space="preserve">e emissions prevented by use of eligible zero/near-zero GHG fuels. This is to ensure that the flag State has </w:t>
      </w:r>
      <w:r w:rsidR="00763F23">
        <w:t>confirmed</w:t>
      </w:r>
      <w:r>
        <w:t xml:space="preserve"> that the consumption of eligible fuels is based on verified DCS data before the automated “mechanism” disperses the reward to the shipping company.  </w:t>
      </w:r>
    </w:p>
    <w:p w14:paraId="5B5AE084" w14:textId="77777777" w:rsidR="005C6E14" w:rsidRDefault="005C6E14" w:rsidP="005C6E14">
      <w:pPr>
        <w:tabs>
          <w:tab w:val="clear" w:pos="851"/>
        </w:tabs>
      </w:pPr>
    </w:p>
    <w:p w14:paraId="48640E4E" w14:textId="77777777" w:rsidR="005C6E14" w:rsidRDefault="005C6E14" w:rsidP="005C6E14">
      <w:pPr>
        <w:tabs>
          <w:tab w:val="clear" w:pos="851"/>
        </w:tabs>
      </w:pPr>
      <w:r>
        <w:t>76</w:t>
      </w:r>
      <w:r>
        <w:tab/>
        <w:t xml:space="preserve">However, the Administration will only be required to issue a Feebate Eligibility Confirmation Statement if the “mechanism” calculates that the feebate (reward) to be received by the ship is greater than the GHG fee which is due. In most cases, at least during the initial years of implementation when most ships eligible for rewards will be dual fuel ships, the feebate will be less than the annual GHG fee and the feebate will simply be deducted by the “mechanism” from the annual GHG fee which is due from the ship. As no money, in these cases, will be transferred to the ship’s account with the “mechanism”, no Feebate Eligibility Confirmation Statement will be required. As with other ships, at the end of the process the Administration will check that data on the Annual Account Statement issued by the “mechanism”, concerning the consumption of eligible zero/near-zero GHG fuels which results in a reduction in the annual GHG fee, matches the verified fuel consumption data provided for the use with the DCS, before issuing an SoC related to payment of the GHG fee.   </w:t>
      </w:r>
    </w:p>
    <w:p w14:paraId="4185A4D2" w14:textId="77777777" w:rsidR="005C6E14" w:rsidRDefault="005C6E14" w:rsidP="005C6E14">
      <w:pPr>
        <w:tabs>
          <w:tab w:val="clear" w:pos="851"/>
        </w:tabs>
        <w:jc w:val="left"/>
      </w:pPr>
    </w:p>
    <w:p w14:paraId="3F10E800" w14:textId="488EB3AA" w:rsidR="005C6E14" w:rsidRDefault="005C6E14" w:rsidP="005C6E14">
      <w:pPr>
        <w:tabs>
          <w:tab w:val="clear" w:pos="851"/>
        </w:tabs>
      </w:pPr>
      <w:r>
        <w:t>77</w:t>
      </w:r>
      <w:r>
        <w:tab/>
        <w:t xml:space="preserve"> Figure 1 </w:t>
      </w:r>
      <w:r w:rsidR="00F25BED">
        <w:t>above</w:t>
      </w:r>
      <w:r>
        <w:t xml:space="preserve"> also illustrates how the process of calculating and disbursing feebates could work.</w:t>
      </w:r>
    </w:p>
    <w:p w14:paraId="06A12E6E" w14:textId="77777777" w:rsidR="005C6E14" w:rsidRDefault="005C6E14" w:rsidP="005C6E14">
      <w:pPr>
        <w:tabs>
          <w:tab w:val="clear" w:pos="851"/>
        </w:tabs>
      </w:pPr>
    </w:p>
    <w:p w14:paraId="707EF10C" w14:textId="77777777" w:rsidR="005C6E14" w:rsidRPr="00B82798" w:rsidRDefault="005C6E14" w:rsidP="005C6E14">
      <w:pPr>
        <w:tabs>
          <w:tab w:val="clear" w:pos="851"/>
        </w:tabs>
        <w:rPr>
          <w:b/>
          <w:bCs/>
          <w:i/>
          <w:iCs/>
        </w:rPr>
      </w:pPr>
      <w:r w:rsidRPr="00B82798">
        <w:rPr>
          <w:b/>
          <w:bCs/>
          <w:i/>
          <w:iCs/>
        </w:rPr>
        <w:t>Expressing the GHG fee (contribution) and feebate (reward) rate for CO</w:t>
      </w:r>
      <w:r w:rsidRPr="00122CF3">
        <w:rPr>
          <w:b/>
          <w:bCs/>
          <w:i/>
          <w:iCs/>
          <w:vertAlign w:val="subscript"/>
        </w:rPr>
        <w:t>2</w:t>
      </w:r>
      <w:r w:rsidRPr="00B82798">
        <w:rPr>
          <w:b/>
          <w:bCs/>
          <w:i/>
          <w:iCs/>
        </w:rPr>
        <w:t xml:space="preserve">e prevented, and the concept of ‘net GHG fee’ </w:t>
      </w:r>
    </w:p>
    <w:p w14:paraId="50F25750" w14:textId="77777777" w:rsidR="005C6E14" w:rsidRDefault="005C6E14" w:rsidP="005C6E14">
      <w:pPr>
        <w:tabs>
          <w:tab w:val="clear" w:pos="851"/>
        </w:tabs>
      </w:pPr>
    </w:p>
    <w:p w14:paraId="7C0C7EF0" w14:textId="77777777" w:rsidR="005C6E14" w:rsidRDefault="005C6E14" w:rsidP="005C6E14">
      <w:pPr>
        <w:tabs>
          <w:tab w:val="clear" w:pos="851"/>
        </w:tabs>
      </w:pPr>
      <w:r>
        <w:t>78</w:t>
      </w:r>
      <w:r>
        <w:tab/>
        <w:t>With regard to setting out the GHG fee (contribution) per tonne of CO</w:t>
      </w:r>
      <w:r w:rsidRPr="00122CF3">
        <w:rPr>
          <w:vertAlign w:val="subscript"/>
        </w:rPr>
        <w:t>2</w:t>
      </w:r>
      <w:r>
        <w:t>e emitted, it will be important for the regulations to express this clearly in US$ per tonne of CO</w:t>
      </w:r>
      <w:r w:rsidRPr="00122CF3">
        <w:rPr>
          <w:vertAlign w:val="subscript"/>
        </w:rPr>
        <w:t>2</w:t>
      </w:r>
      <w:r>
        <w:t>e. This will be more transparent and make it easier for shipowners to explain the extra cost to their customers as a mandatory requirement. As the cost of marine bunkers is almost always expressed in US$, it also makes sense to express the GHG fee in US$ (rather than, for example, SDR) to avoid adding another level of complication and uncertainty, especially for smaller companies in developing countries.</w:t>
      </w:r>
    </w:p>
    <w:p w14:paraId="066EA617" w14:textId="77777777" w:rsidR="005C6E14" w:rsidRDefault="005C6E14" w:rsidP="005C6E14">
      <w:pPr>
        <w:tabs>
          <w:tab w:val="clear" w:pos="851"/>
        </w:tabs>
      </w:pPr>
    </w:p>
    <w:p w14:paraId="5DE67F38" w14:textId="77777777" w:rsidR="005C6E14" w:rsidRDefault="005C6E14" w:rsidP="005C6E14">
      <w:pPr>
        <w:tabs>
          <w:tab w:val="clear" w:pos="851"/>
        </w:tabs>
      </w:pPr>
      <w:r>
        <w:t>79</w:t>
      </w:r>
      <w:r>
        <w:tab/>
        <w:t>Likewise, with regard to feebates (rewards) for the use of zero/near-zero GHG fuels, it will be much simpler, more transparent and easier for the IMO “mechanism” to calculate the rewards to ships if the regulations set out the feebate (reward) rate in US$ per tonne of CO</w:t>
      </w:r>
      <w:r w:rsidRPr="00122CF3">
        <w:rPr>
          <w:vertAlign w:val="subscript"/>
        </w:rPr>
        <w:t>2</w:t>
      </w:r>
      <w:r>
        <w:t>e prevented by using these fuels rather than consuming conventional Liquid Fuel Oil, as it is the reduction of CO</w:t>
      </w:r>
      <w:r w:rsidRPr="00122CF3">
        <w:rPr>
          <w:vertAlign w:val="subscript"/>
        </w:rPr>
        <w:t>2</w:t>
      </w:r>
      <w:r>
        <w:t>e emissions which is the purpose of the regulation.</w:t>
      </w:r>
    </w:p>
    <w:p w14:paraId="6EAB7064" w14:textId="77777777" w:rsidR="005C6E14" w:rsidRDefault="005C6E14" w:rsidP="005C6E14">
      <w:pPr>
        <w:tabs>
          <w:tab w:val="clear" w:pos="851"/>
        </w:tabs>
      </w:pPr>
    </w:p>
    <w:p w14:paraId="42039F7E" w14:textId="77777777" w:rsidR="005C6E14" w:rsidRDefault="005C6E14" w:rsidP="005C6E14">
      <w:pPr>
        <w:tabs>
          <w:tab w:val="clear" w:pos="851"/>
        </w:tabs>
      </w:pPr>
      <w:r>
        <w:t>80</w:t>
      </w:r>
      <w:r>
        <w:tab/>
        <w:t>As mentioned above, the co-sponsors note that consideration needs to be given to feebates (rewards) for CO</w:t>
      </w:r>
      <w:r w:rsidRPr="00122CF3">
        <w:rPr>
          <w:vertAlign w:val="subscript"/>
        </w:rPr>
        <w:t>2</w:t>
      </w:r>
      <w:r>
        <w:t>e emissions prevented by use of other energy sources and technologies. GHG emissions prevented by ships using other technologies, including carbon capture, should be rewarded when IMO has developed a methodology for calculating emissions prevented which can be reported and verified in conjunction with the DCS. But addressing this possibility with a complex formula for expressing the feebate rate in the regulations now will unnecessarily complicate implementation of the regulation. The co-sponsors therefore suggest that rewards for other energy sources and technologies, including carbon capture, should be addressed in IMO Guidelines – see draft Guidelines for determining GHG fees and feebates as set out in annex 2 of this document.</w:t>
      </w:r>
    </w:p>
    <w:p w14:paraId="200A85A8" w14:textId="77777777" w:rsidR="005C6E14" w:rsidRDefault="005C6E14" w:rsidP="005C6E14">
      <w:pPr>
        <w:tabs>
          <w:tab w:val="clear" w:pos="851"/>
        </w:tabs>
      </w:pPr>
    </w:p>
    <w:p w14:paraId="4EB6528D" w14:textId="77777777" w:rsidR="005C6E14" w:rsidRDefault="005C6E14" w:rsidP="005C6E14">
      <w:pPr>
        <w:tabs>
          <w:tab w:val="clear" w:pos="851"/>
        </w:tabs>
      </w:pPr>
      <w:r>
        <w:t>81</w:t>
      </w:r>
      <w:r>
        <w:tab/>
        <w:t>It is very important that the GHG fee (contribution) for CO</w:t>
      </w:r>
      <w:r w:rsidRPr="00122CF3">
        <w:rPr>
          <w:vertAlign w:val="subscript"/>
        </w:rPr>
        <w:t>2</w:t>
      </w:r>
      <w:r>
        <w:t>e emitted and the feebates (rewards) for CO</w:t>
      </w:r>
      <w:r w:rsidRPr="00122CF3">
        <w:rPr>
          <w:vertAlign w:val="subscript"/>
        </w:rPr>
        <w:t>2</w:t>
      </w:r>
      <w:r>
        <w:t>e prevented are both expressed in the same simple and clear way (US$ per tonne of CO</w:t>
      </w:r>
      <w:r w:rsidRPr="00122CF3">
        <w:rPr>
          <w:vertAlign w:val="subscript"/>
        </w:rPr>
        <w:t>2</w:t>
      </w:r>
      <w:r>
        <w:t xml:space="preserve">e)  This is because, as discussed above, in the early years of implementation, most of those ships using fuels which may be eligible for rewards will be dual fuel ships which will also use conventional fuels, so that the total feebate received in a calendar year will usually be less than the total contributions made, and the “mechanism” will simply deduct any feebate from the annual GHG fee which is due, rather than making a payment to the ship’s account.  </w:t>
      </w:r>
    </w:p>
    <w:p w14:paraId="4389C0DE" w14:textId="77777777" w:rsidR="005C6E14" w:rsidRDefault="005C6E14" w:rsidP="005C6E14">
      <w:pPr>
        <w:tabs>
          <w:tab w:val="clear" w:pos="851"/>
        </w:tabs>
      </w:pPr>
    </w:p>
    <w:p w14:paraId="16B8CFBB" w14:textId="77777777" w:rsidR="005C6E14" w:rsidRDefault="005C6E14" w:rsidP="005C6E14">
      <w:pPr>
        <w:tabs>
          <w:tab w:val="clear" w:pos="851"/>
        </w:tabs>
      </w:pPr>
      <w:r>
        <w:t>82</w:t>
      </w:r>
      <w:r>
        <w:tab/>
        <w:t>To make administration of the IMO “mechanism” simpler, any annual feebate (reward), in many cases, can be deducted from the annual GHG fee (contribution) and expressed as a 'net GHG fee' in both the Provisional Statement and the Annual Account Statement issued for the ship by the mechanism. In the early years of implementation, only a very small number of ships will be likely to receive a ‘net feebate’ via the IMO mechanism. The fully automated prototype (see document ISWG-GHG 16/2/1) demonstrates how this would work.</w:t>
      </w:r>
    </w:p>
    <w:p w14:paraId="4B05EC8F" w14:textId="77777777" w:rsidR="005C6E14" w:rsidRDefault="005C6E14" w:rsidP="005C6E14">
      <w:pPr>
        <w:tabs>
          <w:tab w:val="clear" w:pos="851"/>
        </w:tabs>
      </w:pPr>
    </w:p>
    <w:p w14:paraId="3D51098F" w14:textId="77777777" w:rsidR="005C6E14" w:rsidRDefault="005C6E14" w:rsidP="005C6E14">
      <w:pPr>
        <w:tabs>
          <w:tab w:val="clear" w:pos="851"/>
        </w:tabs>
      </w:pPr>
      <w:r>
        <w:t>83</w:t>
      </w:r>
      <w:r>
        <w:tab/>
        <w:t>Expressing the GHG fee and the feebate rate in the same clear way (US$ per tonne of CO</w:t>
      </w:r>
      <w:r w:rsidRPr="00122CF3">
        <w:rPr>
          <w:vertAlign w:val="subscript"/>
        </w:rPr>
        <w:t>2</w:t>
      </w:r>
      <w:r>
        <w:t xml:space="preserve">e) will also make it easier for commercial contracts to specify how the feebate should be passed on to an entity, such as the charterer, who may be paying the cost of more expensive zero/near-zero GHG fuels (including the biofuel component of sustainable biofuel blends). </w:t>
      </w:r>
    </w:p>
    <w:p w14:paraId="68E88418" w14:textId="77777777" w:rsidR="005C6E14" w:rsidRDefault="005C6E14" w:rsidP="005C6E14">
      <w:pPr>
        <w:tabs>
          <w:tab w:val="clear" w:pos="851"/>
        </w:tabs>
        <w:jc w:val="left"/>
        <w:rPr>
          <w:b/>
          <w:bCs/>
          <w:i/>
          <w:iCs/>
        </w:rPr>
      </w:pPr>
    </w:p>
    <w:p w14:paraId="3B20820F" w14:textId="77777777" w:rsidR="005C6E14" w:rsidRPr="00B82798" w:rsidRDefault="005C6E14" w:rsidP="005C6E14">
      <w:pPr>
        <w:tabs>
          <w:tab w:val="clear" w:pos="851"/>
        </w:tabs>
        <w:jc w:val="left"/>
        <w:rPr>
          <w:b/>
          <w:bCs/>
          <w:i/>
          <w:iCs/>
        </w:rPr>
      </w:pPr>
      <w:r w:rsidRPr="00B82798">
        <w:rPr>
          <w:b/>
          <w:bCs/>
          <w:i/>
          <w:iCs/>
        </w:rPr>
        <w:t xml:space="preserve">Dates for implementation </w:t>
      </w:r>
    </w:p>
    <w:p w14:paraId="692A3E28" w14:textId="77777777" w:rsidR="005C6E14" w:rsidRDefault="005C6E14" w:rsidP="005C6E14">
      <w:pPr>
        <w:tabs>
          <w:tab w:val="clear" w:pos="851"/>
        </w:tabs>
      </w:pPr>
    </w:p>
    <w:p w14:paraId="149F7407" w14:textId="77777777" w:rsidR="005C6E14" w:rsidRDefault="005C6E14" w:rsidP="005C6E14">
      <w:pPr>
        <w:tabs>
          <w:tab w:val="clear" w:pos="851"/>
        </w:tabs>
      </w:pPr>
      <w:r>
        <w:t>84</w:t>
      </w:r>
      <w:r>
        <w:tab/>
        <w:t>A provision setting out the specific dates for implementation for the “IMO Net Zero Framework” is not included in the MEPC 81 “illustration”. However, this proposed regulation is considered important to ensure that the collection of GHG fees is started as soon as possible and that there is sufficient time for revenues to be accrued before revenue is disbursed.</w:t>
      </w:r>
    </w:p>
    <w:p w14:paraId="4432EECF" w14:textId="77777777" w:rsidR="005C6E14" w:rsidRDefault="005C6E14" w:rsidP="005C6E14">
      <w:pPr>
        <w:tabs>
          <w:tab w:val="clear" w:pos="851"/>
        </w:tabs>
      </w:pPr>
    </w:p>
    <w:p w14:paraId="79A79B2B" w14:textId="67591171" w:rsidR="008E1682" w:rsidRPr="00B82798" w:rsidRDefault="008E1682" w:rsidP="008E1682">
      <w:pPr>
        <w:tabs>
          <w:tab w:val="clear" w:pos="851"/>
        </w:tabs>
        <w:rPr>
          <w:b/>
          <w:bCs/>
        </w:rPr>
      </w:pPr>
      <w:r w:rsidRPr="00B82798">
        <w:rPr>
          <w:b/>
          <w:bCs/>
        </w:rPr>
        <w:t>DRAFT IMO NET ZERO FRAMEWORK</w:t>
      </w:r>
    </w:p>
    <w:p w14:paraId="2DF8CA31" w14:textId="77777777" w:rsidR="008E1682" w:rsidRDefault="008E1682" w:rsidP="008E1682">
      <w:pPr>
        <w:tabs>
          <w:tab w:val="clear" w:pos="851"/>
        </w:tabs>
      </w:pPr>
    </w:p>
    <w:p w14:paraId="3C718029" w14:textId="7DC9AAEC" w:rsidR="008E1682" w:rsidRDefault="003F20C7" w:rsidP="008E1682">
      <w:pPr>
        <w:tabs>
          <w:tab w:val="clear" w:pos="851"/>
        </w:tabs>
      </w:pPr>
      <w:r>
        <w:t>8</w:t>
      </w:r>
      <w:r w:rsidR="00EF62C5">
        <w:t>5</w:t>
      </w:r>
      <w:r w:rsidR="008E1682">
        <w:tab/>
        <w:t>To expedite development of amendments to MARPOL Annex VI that can be approved and adopted in 2025, as required by the 2023 IMO GHG Strategy, the co-sponsors have prepared a comprehensive regulatory proposal, set out in the annexes to this document as follows:</w:t>
      </w:r>
    </w:p>
    <w:p w14:paraId="694E6DDF" w14:textId="77777777" w:rsidR="008E1682" w:rsidRDefault="008E1682" w:rsidP="008E1682">
      <w:pPr>
        <w:tabs>
          <w:tab w:val="clear" w:pos="851"/>
        </w:tabs>
      </w:pPr>
    </w:p>
    <w:p w14:paraId="00DA0112" w14:textId="77777777" w:rsidR="008E1682" w:rsidRDefault="008E1682" w:rsidP="00B82798">
      <w:pPr>
        <w:tabs>
          <w:tab w:val="clear" w:pos="851"/>
        </w:tabs>
        <w:ind w:left="1701" w:hanging="850"/>
      </w:pPr>
      <w:r>
        <w:t>.1</w:t>
      </w:r>
      <w:r>
        <w:tab/>
        <w:t>Annex 1 – draft amendments to MARPOL Annex VI to add, inter alia, a new Chapter 5 “Regulations on the IMO net-zero framework”; and</w:t>
      </w:r>
    </w:p>
    <w:p w14:paraId="4667C915" w14:textId="77777777" w:rsidR="008E1682" w:rsidRDefault="008E1682" w:rsidP="00B82798">
      <w:pPr>
        <w:tabs>
          <w:tab w:val="clear" w:pos="851"/>
        </w:tabs>
        <w:ind w:left="1701" w:hanging="850"/>
      </w:pPr>
    </w:p>
    <w:p w14:paraId="308A2BA0" w14:textId="638943D6" w:rsidR="008E1682" w:rsidRDefault="008E1682" w:rsidP="00966AF5">
      <w:pPr>
        <w:tabs>
          <w:tab w:val="clear" w:pos="851"/>
        </w:tabs>
        <w:ind w:left="1701" w:hanging="850"/>
      </w:pPr>
      <w:r>
        <w:t>.2</w:t>
      </w:r>
      <w:r>
        <w:tab/>
        <w:t>Annex 2 – draft Annex to an MEPC resolution setting out draft “Guidelines for determining the GHG fees and feebates under the maritime GHG emissions pricing mechanism”.</w:t>
      </w:r>
    </w:p>
    <w:p w14:paraId="3FB85751" w14:textId="0B2F6E38" w:rsidR="008E1682" w:rsidRDefault="008E1682" w:rsidP="008E1682">
      <w:pPr>
        <w:tabs>
          <w:tab w:val="clear" w:pos="851"/>
        </w:tabs>
      </w:pPr>
      <w:r>
        <w:t>8</w:t>
      </w:r>
      <w:r w:rsidR="00EF62C5">
        <w:t>6</w:t>
      </w:r>
      <w:r>
        <w:tab/>
        <w:t>The draft amendments set out in annex 1 of this document include provisions for a new chapter 5 to MARPOL Annex VI as follows:</w:t>
      </w:r>
    </w:p>
    <w:p w14:paraId="1DFA8F20" w14:textId="77777777" w:rsidR="008E1682" w:rsidRDefault="008E1682" w:rsidP="008E1682">
      <w:pPr>
        <w:tabs>
          <w:tab w:val="clear" w:pos="851"/>
        </w:tabs>
      </w:pPr>
    </w:p>
    <w:p w14:paraId="30518A27" w14:textId="77777777" w:rsidR="008E1682" w:rsidRDefault="008E1682" w:rsidP="00B82798">
      <w:pPr>
        <w:tabs>
          <w:tab w:val="clear" w:pos="851"/>
        </w:tabs>
        <w:ind w:left="1701" w:hanging="850"/>
      </w:pPr>
      <w:r>
        <w:t>.1</w:t>
      </w:r>
      <w:r>
        <w:tab/>
        <w:t>Regulation 32 – Application;</w:t>
      </w:r>
    </w:p>
    <w:p w14:paraId="432DD79B" w14:textId="77777777" w:rsidR="008E1682" w:rsidRDefault="008E1682" w:rsidP="00B82798">
      <w:pPr>
        <w:tabs>
          <w:tab w:val="clear" w:pos="851"/>
        </w:tabs>
        <w:ind w:left="1701" w:hanging="850"/>
      </w:pPr>
    </w:p>
    <w:p w14:paraId="50B51C31" w14:textId="35A405E1" w:rsidR="008E1682" w:rsidRDefault="008E1682" w:rsidP="00B82798">
      <w:pPr>
        <w:tabs>
          <w:tab w:val="clear" w:pos="851"/>
        </w:tabs>
        <w:ind w:left="1701" w:hanging="850"/>
      </w:pPr>
      <w:r>
        <w:t>.2</w:t>
      </w:r>
      <w:r>
        <w:tab/>
        <w:t>Regulation 33</w:t>
      </w:r>
      <w:r w:rsidR="00E624B6">
        <w:t xml:space="preserve"> </w:t>
      </w:r>
      <w:r>
        <w:t>– Goal;</w:t>
      </w:r>
    </w:p>
    <w:p w14:paraId="4F075732" w14:textId="77777777" w:rsidR="008E1682" w:rsidRDefault="008E1682" w:rsidP="00B82798">
      <w:pPr>
        <w:tabs>
          <w:tab w:val="clear" w:pos="851"/>
        </w:tabs>
        <w:ind w:left="1701" w:hanging="850"/>
      </w:pPr>
    </w:p>
    <w:p w14:paraId="67A8F95F" w14:textId="77777777" w:rsidR="008E1682" w:rsidRDefault="008E1682" w:rsidP="00B82798">
      <w:pPr>
        <w:tabs>
          <w:tab w:val="clear" w:pos="851"/>
        </w:tabs>
        <w:ind w:left="1701" w:hanging="850"/>
      </w:pPr>
      <w:r>
        <w:t>.3</w:t>
      </w:r>
      <w:r>
        <w:tab/>
        <w:t>Regulation 34 – Functional requirements;</w:t>
      </w:r>
    </w:p>
    <w:p w14:paraId="5873940B" w14:textId="77777777" w:rsidR="008E1682" w:rsidRDefault="008E1682" w:rsidP="00B82798">
      <w:pPr>
        <w:tabs>
          <w:tab w:val="clear" w:pos="851"/>
        </w:tabs>
        <w:ind w:left="1701" w:hanging="850"/>
      </w:pPr>
    </w:p>
    <w:p w14:paraId="65033E5D" w14:textId="77777777" w:rsidR="008E1682" w:rsidRDefault="008E1682" w:rsidP="00B82798">
      <w:pPr>
        <w:tabs>
          <w:tab w:val="clear" w:pos="851"/>
        </w:tabs>
        <w:ind w:left="1701" w:hanging="850"/>
      </w:pPr>
      <w:r>
        <w:t xml:space="preserve">.4 </w:t>
      </w:r>
      <w:r>
        <w:tab/>
        <w:t>Regulation 35 – Goal based marine fuel standard for GHG intensity;</w:t>
      </w:r>
    </w:p>
    <w:p w14:paraId="487C63DB" w14:textId="77777777" w:rsidR="008E1682" w:rsidRDefault="008E1682" w:rsidP="00B82798">
      <w:pPr>
        <w:tabs>
          <w:tab w:val="clear" w:pos="851"/>
        </w:tabs>
        <w:ind w:left="1701" w:hanging="850"/>
      </w:pPr>
    </w:p>
    <w:p w14:paraId="670F9BE0" w14:textId="77777777" w:rsidR="008E1682" w:rsidRDefault="008E1682" w:rsidP="00B82798">
      <w:pPr>
        <w:tabs>
          <w:tab w:val="clear" w:pos="851"/>
        </w:tabs>
        <w:ind w:left="1701" w:hanging="850"/>
      </w:pPr>
      <w:r>
        <w:t xml:space="preserve">.5 </w:t>
      </w:r>
      <w:r>
        <w:tab/>
        <w:t>Regulation 36 – Alternative compliance by a ship;</w:t>
      </w:r>
    </w:p>
    <w:p w14:paraId="5CDBDFFA" w14:textId="77777777" w:rsidR="008E1682" w:rsidRDefault="008E1682" w:rsidP="00B82798">
      <w:pPr>
        <w:tabs>
          <w:tab w:val="clear" w:pos="851"/>
        </w:tabs>
        <w:ind w:left="1701" w:hanging="850"/>
      </w:pPr>
    </w:p>
    <w:p w14:paraId="7A2C6078" w14:textId="77777777" w:rsidR="008E1682" w:rsidRDefault="008E1682" w:rsidP="00B82798">
      <w:pPr>
        <w:tabs>
          <w:tab w:val="clear" w:pos="851"/>
        </w:tabs>
        <w:ind w:left="1701" w:hanging="850"/>
      </w:pPr>
      <w:r>
        <w:t xml:space="preserve">.6 </w:t>
      </w:r>
      <w:r>
        <w:tab/>
        <w:t>Regulation 37 – Energy pooling compliance mechanism for ships;</w:t>
      </w:r>
    </w:p>
    <w:p w14:paraId="137DD5F4" w14:textId="77777777" w:rsidR="008E1682" w:rsidRDefault="008E1682" w:rsidP="00B82798">
      <w:pPr>
        <w:tabs>
          <w:tab w:val="clear" w:pos="851"/>
        </w:tabs>
        <w:ind w:left="1701" w:hanging="850"/>
      </w:pPr>
    </w:p>
    <w:p w14:paraId="5D85BCF1" w14:textId="77777777" w:rsidR="008E1682" w:rsidRDefault="008E1682" w:rsidP="00B82798">
      <w:pPr>
        <w:tabs>
          <w:tab w:val="clear" w:pos="851"/>
        </w:tabs>
        <w:ind w:left="1701" w:hanging="850"/>
      </w:pPr>
      <w:r>
        <w:t xml:space="preserve">.7 </w:t>
      </w:r>
      <w:r>
        <w:tab/>
        <w:t>Regulation 38 – Maritime GHG emissions pricing mechanism;</w:t>
      </w:r>
    </w:p>
    <w:p w14:paraId="6EAE5871" w14:textId="77777777" w:rsidR="008E1682" w:rsidRDefault="008E1682" w:rsidP="00B82798">
      <w:pPr>
        <w:tabs>
          <w:tab w:val="clear" w:pos="851"/>
        </w:tabs>
        <w:ind w:left="1701" w:hanging="850"/>
      </w:pPr>
    </w:p>
    <w:p w14:paraId="3183E0A9" w14:textId="77777777" w:rsidR="008E1682" w:rsidRDefault="008E1682" w:rsidP="00B82798">
      <w:pPr>
        <w:tabs>
          <w:tab w:val="clear" w:pos="851"/>
        </w:tabs>
        <w:ind w:left="1701" w:hanging="850"/>
      </w:pPr>
      <w:r>
        <w:t xml:space="preserve">.8 </w:t>
      </w:r>
      <w:r>
        <w:tab/>
        <w:t>Regulation 39 – Purpose of the mechanism;</w:t>
      </w:r>
    </w:p>
    <w:p w14:paraId="2B4E85BE" w14:textId="77777777" w:rsidR="008E1682" w:rsidRDefault="008E1682" w:rsidP="00B82798">
      <w:pPr>
        <w:tabs>
          <w:tab w:val="clear" w:pos="851"/>
        </w:tabs>
        <w:ind w:left="1701" w:hanging="850"/>
      </w:pPr>
    </w:p>
    <w:p w14:paraId="7E6D9566" w14:textId="77777777" w:rsidR="008E1682" w:rsidRDefault="008E1682" w:rsidP="00B82798">
      <w:pPr>
        <w:tabs>
          <w:tab w:val="clear" w:pos="851"/>
        </w:tabs>
        <w:ind w:left="1701" w:hanging="850"/>
      </w:pPr>
      <w:r>
        <w:t>.9</w:t>
      </w:r>
      <w:r>
        <w:tab/>
        <w:t>Regulation 40 – Calculation and collection of fees;</w:t>
      </w:r>
    </w:p>
    <w:p w14:paraId="4D095FEB" w14:textId="77777777" w:rsidR="008E1682" w:rsidRDefault="008E1682" w:rsidP="00B82798">
      <w:pPr>
        <w:tabs>
          <w:tab w:val="clear" w:pos="851"/>
        </w:tabs>
        <w:ind w:left="1701" w:hanging="850"/>
      </w:pPr>
    </w:p>
    <w:p w14:paraId="7BB18991" w14:textId="77777777" w:rsidR="008E1682" w:rsidRDefault="008E1682" w:rsidP="00B82798">
      <w:pPr>
        <w:tabs>
          <w:tab w:val="clear" w:pos="851"/>
        </w:tabs>
        <w:ind w:left="1701" w:hanging="850"/>
      </w:pPr>
      <w:r>
        <w:t>.10</w:t>
      </w:r>
      <w:r>
        <w:tab/>
        <w:t>Regulation 41 – Feebates disbursed via the maritime GHG emissions pricing mechanism;</w:t>
      </w:r>
    </w:p>
    <w:p w14:paraId="64F77FA7" w14:textId="77777777" w:rsidR="008E1682" w:rsidRDefault="008E1682" w:rsidP="008E1682">
      <w:pPr>
        <w:tabs>
          <w:tab w:val="clear" w:pos="851"/>
        </w:tabs>
      </w:pPr>
    </w:p>
    <w:p w14:paraId="05E90CCD" w14:textId="77777777" w:rsidR="008E1682" w:rsidRDefault="008E1682" w:rsidP="00B82798">
      <w:pPr>
        <w:tabs>
          <w:tab w:val="clear" w:pos="851"/>
        </w:tabs>
        <w:ind w:left="1701" w:hanging="850"/>
      </w:pPr>
      <w:r>
        <w:t>.11</w:t>
      </w:r>
      <w:r>
        <w:tab/>
        <w:t>Regulation 42 – IMO Net Zero Shipping Fund;</w:t>
      </w:r>
    </w:p>
    <w:p w14:paraId="589CD3DC" w14:textId="77777777" w:rsidR="008E1682" w:rsidRDefault="008E1682" w:rsidP="00B82798">
      <w:pPr>
        <w:tabs>
          <w:tab w:val="clear" w:pos="851"/>
        </w:tabs>
        <w:ind w:left="1701" w:hanging="850"/>
      </w:pPr>
    </w:p>
    <w:p w14:paraId="13789264" w14:textId="77777777" w:rsidR="008E1682" w:rsidRDefault="008E1682" w:rsidP="00B82798">
      <w:pPr>
        <w:tabs>
          <w:tab w:val="clear" w:pos="851"/>
        </w:tabs>
        <w:ind w:left="1701" w:hanging="850"/>
      </w:pPr>
      <w:r>
        <w:t>.12</w:t>
      </w:r>
      <w:r>
        <w:tab/>
        <w:t>Regulation 43 – Dates for implementation;</w:t>
      </w:r>
    </w:p>
    <w:p w14:paraId="1394B649" w14:textId="77777777" w:rsidR="008E1682" w:rsidRDefault="008E1682" w:rsidP="00B82798">
      <w:pPr>
        <w:tabs>
          <w:tab w:val="clear" w:pos="851"/>
        </w:tabs>
        <w:ind w:left="1701" w:hanging="850"/>
      </w:pPr>
    </w:p>
    <w:p w14:paraId="4B21CB96" w14:textId="77777777" w:rsidR="008E1682" w:rsidRDefault="008E1682" w:rsidP="00B82798">
      <w:pPr>
        <w:tabs>
          <w:tab w:val="clear" w:pos="851"/>
        </w:tabs>
        <w:ind w:left="1701" w:hanging="850"/>
      </w:pPr>
      <w:r>
        <w:t>.13</w:t>
      </w:r>
      <w:r>
        <w:tab/>
        <w:t>Regulation 44 – Review of this chapter; and</w:t>
      </w:r>
    </w:p>
    <w:p w14:paraId="6A8C14C1" w14:textId="77777777" w:rsidR="008E1682" w:rsidRDefault="008E1682" w:rsidP="00B82798">
      <w:pPr>
        <w:tabs>
          <w:tab w:val="clear" w:pos="851"/>
        </w:tabs>
        <w:ind w:left="1701" w:hanging="850"/>
      </w:pPr>
    </w:p>
    <w:p w14:paraId="2CBA5789" w14:textId="6233D6AF" w:rsidR="008E1682" w:rsidRDefault="008E1682" w:rsidP="001E4878">
      <w:pPr>
        <w:tabs>
          <w:tab w:val="clear" w:pos="851"/>
        </w:tabs>
        <w:ind w:left="1701" w:hanging="850"/>
      </w:pPr>
      <w:r>
        <w:t xml:space="preserve">.14 </w:t>
      </w:r>
      <w:r>
        <w:tab/>
        <w:t>Appendix [XII] – Form of the Statement of Compliance - Maritime GHG emissions pricing mechanism.</w:t>
      </w:r>
    </w:p>
    <w:p w14:paraId="29902C7C" w14:textId="77777777" w:rsidR="00D37D79" w:rsidRDefault="00D37D79" w:rsidP="008E1682">
      <w:pPr>
        <w:tabs>
          <w:tab w:val="clear" w:pos="851"/>
        </w:tabs>
      </w:pPr>
    </w:p>
    <w:p w14:paraId="03BCF81E" w14:textId="29332145" w:rsidR="008E1682" w:rsidRDefault="008E1682" w:rsidP="008E1682">
      <w:pPr>
        <w:tabs>
          <w:tab w:val="clear" w:pos="851"/>
        </w:tabs>
      </w:pPr>
      <w:r>
        <w:t>8</w:t>
      </w:r>
      <w:r w:rsidR="007972BD">
        <w:t>7</w:t>
      </w:r>
      <w:r>
        <w:tab/>
        <w:t>In addition, consequential draft amendments to the following regulations of MARPOL Annex VI are proposed to include a requirement for a Statement of Compliance for the Maritime GHG emissions pricing mechanism as follows:</w:t>
      </w:r>
    </w:p>
    <w:p w14:paraId="0387461B" w14:textId="77777777" w:rsidR="008E1682" w:rsidRDefault="008E1682" w:rsidP="008E1682">
      <w:pPr>
        <w:tabs>
          <w:tab w:val="clear" w:pos="851"/>
        </w:tabs>
      </w:pPr>
    </w:p>
    <w:p w14:paraId="77993DEA" w14:textId="77777777" w:rsidR="008E1682" w:rsidRDefault="008E1682" w:rsidP="00B82798">
      <w:pPr>
        <w:tabs>
          <w:tab w:val="clear" w:pos="851"/>
        </w:tabs>
        <w:ind w:left="1701" w:hanging="850"/>
      </w:pPr>
      <w:r>
        <w:t>.1</w:t>
      </w:r>
      <w:r>
        <w:tab/>
        <w:t>Regulation 6 – Issue or endorsement of Certificates and Statements of Compliance;</w:t>
      </w:r>
    </w:p>
    <w:p w14:paraId="4CE93E7B" w14:textId="77777777" w:rsidR="008E1682" w:rsidRDefault="008E1682" w:rsidP="00B82798">
      <w:pPr>
        <w:tabs>
          <w:tab w:val="clear" w:pos="851"/>
        </w:tabs>
        <w:ind w:left="1701" w:hanging="850"/>
      </w:pPr>
    </w:p>
    <w:p w14:paraId="2B0ED3EB" w14:textId="77777777" w:rsidR="008E1682" w:rsidRDefault="008E1682" w:rsidP="00B82798">
      <w:pPr>
        <w:tabs>
          <w:tab w:val="clear" w:pos="851"/>
        </w:tabs>
        <w:ind w:left="1701" w:hanging="850"/>
      </w:pPr>
      <w:r>
        <w:t>.2</w:t>
      </w:r>
      <w:r>
        <w:tab/>
        <w:t>Regulation 8 – Form of Certificates and Statements of Compliance;</w:t>
      </w:r>
    </w:p>
    <w:p w14:paraId="72E4B30A" w14:textId="77777777" w:rsidR="008E1682" w:rsidRDefault="008E1682" w:rsidP="00B82798">
      <w:pPr>
        <w:tabs>
          <w:tab w:val="clear" w:pos="851"/>
        </w:tabs>
        <w:ind w:left="1701" w:hanging="850"/>
      </w:pPr>
    </w:p>
    <w:p w14:paraId="4AB56A36" w14:textId="77777777" w:rsidR="008E1682" w:rsidRDefault="008E1682" w:rsidP="00B82798">
      <w:pPr>
        <w:tabs>
          <w:tab w:val="clear" w:pos="851"/>
        </w:tabs>
        <w:ind w:left="1701" w:hanging="850"/>
      </w:pPr>
      <w:r>
        <w:t>.3</w:t>
      </w:r>
      <w:r>
        <w:tab/>
        <w:t>Regulation 9 – Duration and validity of Certificates and Statements of Compliance; and</w:t>
      </w:r>
    </w:p>
    <w:p w14:paraId="2CB882E5" w14:textId="77777777" w:rsidR="008E1682" w:rsidRDefault="008E1682" w:rsidP="00B82798">
      <w:pPr>
        <w:tabs>
          <w:tab w:val="clear" w:pos="851"/>
        </w:tabs>
        <w:ind w:left="1701" w:hanging="850"/>
      </w:pPr>
    </w:p>
    <w:p w14:paraId="3D824689" w14:textId="77777777" w:rsidR="008E1682" w:rsidRDefault="008E1682" w:rsidP="00B82798">
      <w:pPr>
        <w:tabs>
          <w:tab w:val="clear" w:pos="851"/>
        </w:tabs>
        <w:ind w:left="1701" w:hanging="850"/>
      </w:pPr>
      <w:r>
        <w:t>.4</w:t>
      </w:r>
      <w:r>
        <w:tab/>
        <w:t>Regulation 10 – Port State control on operational requirements.</w:t>
      </w:r>
    </w:p>
    <w:p w14:paraId="49D8CA37" w14:textId="77777777" w:rsidR="008E1682" w:rsidRDefault="008E1682" w:rsidP="008E1682">
      <w:pPr>
        <w:tabs>
          <w:tab w:val="clear" w:pos="851"/>
        </w:tabs>
      </w:pPr>
    </w:p>
    <w:p w14:paraId="3AFFE26F" w14:textId="77777777" w:rsidR="001C6932" w:rsidRDefault="001C6932" w:rsidP="008E1682">
      <w:pPr>
        <w:tabs>
          <w:tab w:val="clear" w:pos="851"/>
        </w:tabs>
        <w:rPr>
          <w:b/>
          <w:bCs/>
        </w:rPr>
      </w:pPr>
    </w:p>
    <w:p w14:paraId="1CD26EA8" w14:textId="27DF4251" w:rsidR="008E1682" w:rsidRPr="00B82798" w:rsidRDefault="008E1682" w:rsidP="008E1682">
      <w:pPr>
        <w:tabs>
          <w:tab w:val="clear" w:pos="851"/>
        </w:tabs>
        <w:rPr>
          <w:b/>
          <w:bCs/>
        </w:rPr>
      </w:pPr>
      <w:r w:rsidRPr="00B82798">
        <w:rPr>
          <w:b/>
          <w:bCs/>
        </w:rPr>
        <w:t>CONCLUSION</w:t>
      </w:r>
    </w:p>
    <w:p w14:paraId="4FEBF23B" w14:textId="77777777" w:rsidR="008E1682" w:rsidRDefault="008E1682" w:rsidP="008E1682">
      <w:pPr>
        <w:tabs>
          <w:tab w:val="clear" w:pos="851"/>
        </w:tabs>
      </w:pPr>
    </w:p>
    <w:p w14:paraId="29B89B0D" w14:textId="48EC3CC2" w:rsidR="008E1682" w:rsidRDefault="008E1682" w:rsidP="008E1682">
      <w:pPr>
        <w:tabs>
          <w:tab w:val="clear" w:pos="851"/>
        </w:tabs>
      </w:pPr>
      <w:r>
        <w:t>8</w:t>
      </w:r>
      <w:r w:rsidR="007972BD">
        <w:t>8</w:t>
      </w:r>
      <w:r>
        <w:tab/>
        <w:t xml:space="preserve">This comprehensive proposal for an integrated IMO Net Zero Framework, complete </w:t>
      </w:r>
      <w:r w:rsidR="00286896">
        <w:t xml:space="preserve">with </w:t>
      </w:r>
      <w:r>
        <w:t xml:space="preserve">the necessary regulatory architecture as </w:t>
      </w:r>
      <w:r w:rsidR="00D55D27">
        <w:t xml:space="preserve">set </w:t>
      </w:r>
      <w:r>
        <w:t xml:space="preserve">out in the annexes to this document, is designed to incorporate both </w:t>
      </w:r>
      <w:r w:rsidR="00167518">
        <w:t xml:space="preserve">a </w:t>
      </w:r>
      <w:r w:rsidR="00AF174A" w:rsidRPr="00692FA1">
        <w:rPr>
          <w:u w:val="single"/>
        </w:rPr>
        <w:t>simplified</w:t>
      </w:r>
      <w:r>
        <w:t xml:space="preserve"> goal-based marine fuel standard for GHG intensity and a </w:t>
      </w:r>
      <w:r w:rsidR="0024019A" w:rsidRPr="00692FA1">
        <w:rPr>
          <w:u w:val="single"/>
        </w:rPr>
        <w:t>distinct</w:t>
      </w:r>
      <w:r w:rsidRPr="00AF174A">
        <w:t xml:space="preserve"> </w:t>
      </w:r>
      <w:r>
        <w:t xml:space="preserve">maritime GHG emissions pricing mechanism with a </w:t>
      </w:r>
      <w:r w:rsidRPr="00692FA1">
        <w:rPr>
          <w:u w:val="single"/>
        </w:rPr>
        <w:t>flat rate GHG fee</w:t>
      </w:r>
      <w:r>
        <w:t xml:space="preserve"> (contribution) per tonne of CO</w:t>
      </w:r>
      <w:r w:rsidRPr="00122CF3">
        <w:rPr>
          <w:vertAlign w:val="subscript"/>
        </w:rPr>
        <w:t>2</w:t>
      </w:r>
      <w:r>
        <w:t>e emissions, and a feebate (reward) element per tonne of CO</w:t>
      </w:r>
      <w:r w:rsidRPr="00B82798">
        <w:rPr>
          <w:vertAlign w:val="subscript"/>
        </w:rPr>
        <w:t>2</w:t>
      </w:r>
      <w:r>
        <w:t>e prevented to incentivi</w:t>
      </w:r>
      <w:r w:rsidR="001B34F4">
        <w:t>z</w:t>
      </w:r>
      <w:r>
        <w:t xml:space="preserve">e accelerated production and uptake of zero/near-zero GHG fuels. As a </w:t>
      </w:r>
      <w:r w:rsidRPr="00692FA1">
        <w:rPr>
          <w:u w:val="single"/>
        </w:rPr>
        <w:t>by-product</w:t>
      </w:r>
      <w:r>
        <w:t xml:space="preserve"> of the “mechanism”</w:t>
      </w:r>
      <w:r w:rsidR="00B518D1">
        <w:t xml:space="preserve"> </w:t>
      </w:r>
      <w:r>
        <w:t>up to about US$2</w:t>
      </w:r>
      <w:r w:rsidR="00217044">
        <w:t>.5</w:t>
      </w:r>
      <w:r>
        <w:t xml:space="preserve"> billion per year, during the initial years of implementation, will be allocated to an IMO Net Zero Shipping Fund to support</w:t>
      </w:r>
      <w:r w:rsidR="00B518D1">
        <w:t>, inter alia,</w:t>
      </w:r>
      <w:r>
        <w:t xml:space="preserve"> the maritime GHG reduction efforts of developing countries, in particular SIDs and LDCs. </w:t>
      </w:r>
    </w:p>
    <w:p w14:paraId="2A20FE7E" w14:textId="77777777" w:rsidR="008E1682" w:rsidRDefault="008E1682" w:rsidP="008E1682">
      <w:pPr>
        <w:tabs>
          <w:tab w:val="clear" w:pos="851"/>
        </w:tabs>
      </w:pPr>
    </w:p>
    <w:p w14:paraId="4ECFE72A" w14:textId="444FB15E" w:rsidR="008E1682" w:rsidRDefault="007972BD" w:rsidP="008E1682">
      <w:pPr>
        <w:tabs>
          <w:tab w:val="clear" w:pos="851"/>
        </w:tabs>
      </w:pPr>
      <w:r>
        <w:t>89</w:t>
      </w:r>
      <w:r w:rsidR="008E1682">
        <w:tab/>
        <w:t xml:space="preserve">Without these crucial elements, the Organization will not succeed in achieving the 2023 GHG Strategy’s goals, leading to proliferation of piecemeal, unilateral GHG charges </w:t>
      </w:r>
      <w:r w:rsidR="008E1682">
        <w:lastRenderedPageBreak/>
        <w:t xml:space="preserve">being applied to shipping worldwide, with regulatory chaos, economic inefficiency and damage to IMO’s authority as shipping’s global regulator. </w:t>
      </w:r>
    </w:p>
    <w:p w14:paraId="18E4035D" w14:textId="77777777" w:rsidR="008E1682" w:rsidRDefault="008E1682" w:rsidP="008E1682">
      <w:pPr>
        <w:tabs>
          <w:tab w:val="clear" w:pos="851"/>
        </w:tabs>
      </w:pPr>
    </w:p>
    <w:p w14:paraId="222941AF" w14:textId="0238B9DA" w:rsidR="00F757DA" w:rsidRDefault="00C76F03" w:rsidP="008E1682">
      <w:pPr>
        <w:tabs>
          <w:tab w:val="clear" w:pos="851"/>
        </w:tabs>
      </w:pPr>
      <w:r>
        <w:t>9</w:t>
      </w:r>
      <w:r w:rsidR="007972BD">
        <w:t>0</w:t>
      </w:r>
      <w:r w:rsidR="008E1682">
        <w:tab/>
        <w:t xml:space="preserve"> The co-sponsors emphasi</w:t>
      </w:r>
      <w:r w:rsidR="00E32834">
        <w:t>s</w:t>
      </w:r>
      <w:r w:rsidR="008E1682">
        <w:t xml:space="preserve">e that if Member States are committed to adopting measures that will deliver the very high levels of ambition which they have unanimously agreed, as set out in the 2023 IMO GHG Strategy, a </w:t>
      </w:r>
      <w:r w:rsidR="00A20036" w:rsidRPr="00ED2D64">
        <w:rPr>
          <w:u w:val="single"/>
        </w:rPr>
        <w:t>distinct</w:t>
      </w:r>
      <w:r w:rsidR="00A20036">
        <w:t xml:space="preserve"> </w:t>
      </w:r>
      <w:r w:rsidR="008E1682">
        <w:t>maritime GHG emissions pricing mechanism is urgently required for international shipping.</w:t>
      </w:r>
    </w:p>
    <w:p w14:paraId="422EB1EB" w14:textId="77777777" w:rsidR="00F757DA" w:rsidRDefault="00F757DA" w:rsidP="008E1682">
      <w:pPr>
        <w:tabs>
          <w:tab w:val="clear" w:pos="851"/>
        </w:tabs>
      </w:pPr>
    </w:p>
    <w:p w14:paraId="7E61B6BC" w14:textId="4D9E7512" w:rsidR="008E1682" w:rsidRDefault="00C76F03" w:rsidP="008E1682">
      <w:pPr>
        <w:tabs>
          <w:tab w:val="clear" w:pos="851"/>
        </w:tabs>
      </w:pPr>
      <w:r>
        <w:t>9</w:t>
      </w:r>
      <w:r w:rsidR="007972BD">
        <w:t>1</w:t>
      </w:r>
      <w:r w:rsidR="00024B64">
        <w:tab/>
      </w:r>
      <w:r w:rsidR="008E1682">
        <w:t xml:space="preserve"> A </w:t>
      </w:r>
      <w:r w:rsidR="00024B64">
        <w:t>“mechanism”</w:t>
      </w:r>
      <w:r w:rsidR="008E1682">
        <w:t xml:space="preserve"> is required which will meaningfully narrow the cost gap with conventional fuels to achieve a ʺtake-offʺ point in the production and uptake of zero/near-zero GHG fuels</w:t>
      </w:r>
      <w:r w:rsidR="000C3813">
        <w:t>,</w:t>
      </w:r>
      <w:r w:rsidR="008E1682">
        <w:t xml:space="preserve"> as required by the important level of ambition for 5% to 10% of energy used by shipping to be generated from zero/near-zero GHG fuels, technologies and/or energy sources by 2030, on a pathway to net zero, given that the current availability of such marine fuels is virtually zero.</w:t>
      </w:r>
    </w:p>
    <w:p w14:paraId="05AC5418" w14:textId="77777777" w:rsidR="008E1682" w:rsidRDefault="008E1682" w:rsidP="008E1682">
      <w:pPr>
        <w:tabs>
          <w:tab w:val="clear" w:pos="851"/>
        </w:tabs>
      </w:pPr>
    </w:p>
    <w:p w14:paraId="35D35D40" w14:textId="4E958557" w:rsidR="008E1682" w:rsidRDefault="008C5B3F" w:rsidP="008E1682">
      <w:pPr>
        <w:tabs>
          <w:tab w:val="clear" w:pos="851"/>
        </w:tabs>
      </w:pPr>
      <w:r>
        <w:t>9</w:t>
      </w:r>
      <w:r w:rsidR="007972BD">
        <w:t>2</w:t>
      </w:r>
      <w:r w:rsidR="008E1682">
        <w:tab/>
        <w:t xml:space="preserve">A fuel standard on its own (even if it includes an “economic element” as an alternative to compliance) will not be sufficient to achieve a ʺtake-offʺ point by 2030 so that zero/near-zero GHG fuels will be produced, at scale, and made available to ships at ports globally, including in developing countries, so that the 2040 indicative checkpoint for a 70% to 80% cut in international shipping’s absolute GHG emissions, regardless of trade growth, is feasible and that achievement of net zero GHG emissions, by or around 2050, remains plausible.  </w:t>
      </w:r>
      <w:r w:rsidR="00692284">
        <w:t>Furthermore, a</w:t>
      </w:r>
      <w:r w:rsidR="008E1682">
        <w:t xml:space="preserve"> fuel standard on its own (even if it includes an economic element) will not provide guaranteed levels of funding, comprising billions of US dollars annually, to suppor</w:t>
      </w:r>
      <w:r w:rsidR="002301A4">
        <w:t>t, inter alia,</w:t>
      </w:r>
      <w:r w:rsidR="008E1682">
        <w:t xml:space="preserve"> </w:t>
      </w:r>
      <w:r w:rsidR="009A19AF">
        <w:t xml:space="preserve">a just transition and </w:t>
      </w:r>
      <w:r w:rsidR="008E1682">
        <w:t>the maritime GHG reduction efforts of developing countrie</w:t>
      </w:r>
      <w:r w:rsidR="00431553">
        <w:t xml:space="preserve">s, so that the transition to net zero </w:t>
      </w:r>
      <w:r w:rsidR="00FB2BE2">
        <w:t xml:space="preserve">by international shipping </w:t>
      </w:r>
      <w:r w:rsidR="00431553">
        <w:t>will be truly global.</w:t>
      </w:r>
    </w:p>
    <w:p w14:paraId="7646CF20" w14:textId="77777777" w:rsidR="00692284" w:rsidRDefault="00692284" w:rsidP="008E1682">
      <w:pPr>
        <w:tabs>
          <w:tab w:val="clear" w:pos="851"/>
        </w:tabs>
      </w:pPr>
    </w:p>
    <w:p w14:paraId="08AD33F3" w14:textId="77777777" w:rsidR="008E1682" w:rsidRPr="00B82798" w:rsidRDefault="008E1682" w:rsidP="008E1682">
      <w:pPr>
        <w:tabs>
          <w:tab w:val="clear" w:pos="851"/>
        </w:tabs>
        <w:rPr>
          <w:b/>
          <w:bCs/>
        </w:rPr>
      </w:pPr>
      <w:r w:rsidRPr="00B82798">
        <w:rPr>
          <w:b/>
          <w:bCs/>
        </w:rPr>
        <w:t>ACTION REQUESTED OF THE WORKING GROUP</w:t>
      </w:r>
    </w:p>
    <w:p w14:paraId="77AEA0A1" w14:textId="77777777" w:rsidR="008E1682" w:rsidRDefault="008E1682" w:rsidP="008E1682">
      <w:pPr>
        <w:tabs>
          <w:tab w:val="clear" w:pos="851"/>
        </w:tabs>
      </w:pPr>
    </w:p>
    <w:p w14:paraId="673BF471" w14:textId="416B0983" w:rsidR="003D24C0" w:rsidRPr="001D5F68" w:rsidRDefault="00553F71" w:rsidP="003D24C0">
      <w:pPr>
        <w:tabs>
          <w:tab w:val="clear" w:pos="851"/>
        </w:tabs>
      </w:pPr>
      <w:r>
        <w:t>9</w:t>
      </w:r>
      <w:r w:rsidR="007972BD">
        <w:t>3</w:t>
      </w:r>
      <w:r w:rsidR="008E1682">
        <w:tab/>
        <w:t xml:space="preserve">The </w:t>
      </w:r>
      <w:r w:rsidR="00263688">
        <w:t xml:space="preserve">Working </w:t>
      </w:r>
      <w:r w:rsidR="008E1682">
        <w:t>Group is invited to consider the comprehensive proposal in this document, and the draft regulatory text included in the annexes and take action as appropriate.</w:t>
      </w:r>
      <w:r w:rsidR="00D80973">
        <w:t xml:space="preserve"> The </w:t>
      </w:r>
      <w:r w:rsidR="00263688">
        <w:t xml:space="preserve">Working </w:t>
      </w:r>
      <w:r w:rsidR="00D80973">
        <w:t xml:space="preserve">Group is also requested to </w:t>
      </w:r>
      <w:r w:rsidR="00D615FE">
        <w:t xml:space="preserve">fully </w:t>
      </w:r>
      <w:r w:rsidR="00D80973">
        <w:t xml:space="preserve">consider </w:t>
      </w:r>
      <w:r w:rsidR="00D615FE">
        <w:t xml:space="preserve">those </w:t>
      </w:r>
      <w:r w:rsidR="003D24C0" w:rsidRPr="001D5F68">
        <w:t xml:space="preserve">key issues </w:t>
      </w:r>
      <w:r w:rsidR="00AB5059">
        <w:t xml:space="preserve">highlighted </w:t>
      </w:r>
      <w:r w:rsidR="00F36521">
        <w:t xml:space="preserve">in this document </w:t>
      </w:r>
      <w:r w:rsidR="003D24C0" w:rsidRPr="001D5F68">
        <w:t>which</w:t>
      </w:r>
      <w:r w:rsidR="003D24C0" w:rsidRPr="00DF3EE1">
        <w:t xml:space="preserve"> </w:t>
      </w:r>
      <w:r w:rsidR="003D24C0" w:rsidRPr="001D5F68">
        <w:t xml:space="preserve">need to be given full consideration by the </w:t>
      </w:r>
      <w:r w:rsidR="00263688">
        <w:t xml:space="preserve">Working </w:t>
      </w:r>
      <w:r w:rsidR="003D24C0" w:rsidRPr="001D5F68">
        <w:t xml:space="preserve">Group </w:t>
      </w:r>
      <w:r w:rsidR="003D24C0" w:rsidRPr="00DF3EE1">
        <w:t xml:space="preserve">and the Committee </w:t>
      </w:r>
      <w:r w:rsidR="003D24C0" w:rsidRPr="001D5F68">
        <w:t xml:space="preserve">before </w:t>
      </w:r>
      <w:r w:rsidR="003D24C0" w:rsidRPr="00DF3EE1">
        <w:t xml:space="preserve">they </w:t>
      </w:r>
      <w:r w:rsidR="003D24C0" w:rsidRPr="001D5F68">
        <w:t>consider development of regulatory text</w:t>
      </w:r>
      <w:r w:rsidR="003D24C0" w:rsidRPr="00DF3EE1">
        <w:t>,</w:t>
      </w:r>
      <w:r w:rsidR="003D24C0" w:rsidRPr="001D5F68">
        <w:t xml:space="preserve"> including </w:t>
      </w:r>
      <w:r w:rsidR="001043E1">
        <w:t xml:space="preserve">any </w:t>
      </w:r>
      <w:r w:rsidR="006C1D52">
        <w:t xml:space="preserve">suggested </w:t>
      </w:r>
      <w:r w:rsidR="003D24C0" w:rsidRPr="001D5F68">
        <w:t>‘base’ text’</w:t>
      </w:r>
      <w:r w:rsidR="004A6C7B">
        <w:t xml:space="preserve"> which may be submitted.</w:t>
      </w:r>
    </w:p>
    <w:p w14:paraId="015538E7" w14:textId="021D7D01" w:rsidR="008E1682" w:rsidRDefault="008E1682" w:rsidP="008E1682">
      <w:pPr>
        <w:tabs>
          <w:tab w:val="clear" w:pos="851"/>
        </w:tabs>
      </w:pPr>
    </w:p>
    <w:p w14:paraId="3D74A57F" w14:textId="77777777" w:rsidR="008E1682" w:rsidRDefault="008E1682" w:rsidP="008E1682">
      <w:pPr>
        <w:tabs>
          <w:tab w:val="clear" w:pos="851"/>
        </w:tabs>
      </w:pPr>
    </w:p>
    <w:p w14:paraId="3EFDE017" w14:textId="10922CEF" w:rsidR="008E1682" w:rsidRDefault="008E1682" w:rsidP="008E1682">
      <w:pPr>
        <w:tabs>
          <w:tab w:val="clear" w:pos="851"/>
        </w:tabs>
      </w:pPr>
    </w:p>
    <w:p w14:paraId="4AF8841F" w14:textId="2C8AA753" w:rsidR="00D161A2" w:rsidRDefault="008E1682" w:rsidP="008E1682">
      <w:pPr>
        <w:tabs>
          <w:tab w:val="clear" w:pos="851"/>
        </w:tabs>
        <w:jc w:val="center"/>
      </w:pPr>
      <w:r>
        <w:t>***</w:t>
      </w:r>
    </w:p>
    <w:p w14:paraId="2191697C" w14:textId="77777777" w:rsidR="008C0AB8" w:rsidRDefault="008C0AB8">
      <w:pPr>
        <w:tabs>
          <w:tab w:val="clear" w:pos="851"/>
        </w:tabs>
        <w:jc w:val="left"/>
        <w:sectPr w:rsidR="008C0AB8" w:rsidSect="007531CE">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418" w:left="1418" w:header="851" w:footer="851" w:gutter="0"/>
          <w:pgNumType w:start="1"/>
          <w:cols w:space="720"/>
          <w:titlePg/>
          <w:docGrid w:linePitch="326"/>
        </w:sectPr>
      </w:pPr>
    </w:p>
    <w:p w14:paraId="58E702C4" w14:textId="3161F60A" w:rsidR="008C0AB8" w:rsidRDefault="008C0AB8">
      <w:pPr>
        <w:tabs>
          <w:tab w:val="clear" w:pos="851"/>
        </w:tabs>
        <w:jc w:val="left"/>
      </w:pPr>
    </w:p>
    <w:p w14:paraId="28671FF4" w14:textId="77777777" w:rsidR="00C97D3A" w:rsidRDefault="00C97D3A">
      <w:pPr>
        <w:tabs>
          <w:tab w:val="clear" w:pos="851"/>
        </w:tabs>
        <w:jc w:val="left"/>
        <w:sectPr w:rsidR="00C97D3A" w:rsidSect="00C97D3A">
          <w:headerReference w:type="even" r:id="rId21"/>
          <w:headerReference w:type="default" r:id="rId22"/>
          <w:type w:val="continuous"/>
          <w:pgSz w:w="11906" w:h="16838" w:code="9"/>
          <w:pgMar w:top="1134" w:right="1418" w:bottom="1418" w:left="1418" w:header="851" w:footer="851" w:gutter="0"/>
          <w:pgNumType w:start="1"/>
          <w:cols w:space="720"/>
          <w:titlePg/>
          <w:docGrid w:linePitch="326"/>
        </w:sectPr>
      </w:pPr>
    </w:p>
    <w:p w14:paraId="5F85EBD7" w14:textId="40C032BC" w:rsidR="00A2163D" w:rsidRDefault="00A2163D">
      <w:pPr>
        <w:tabs>
          <w:tab w:val="clear" w:pos="851"/>
        </w:tabs>
        <w:jc w:val="left"/>
      </w:pPr>
    </w:p>
    <w:p w14:paraId="792AA3C6" w14:textId="77777777" w:rsidR="008C0AB8" w:rsidRDefault="008C0AB8" w:rsidP="008C0AB8">
      <w:pPr>
        <w:jc w:val="center"/>
        <w:rPr>
          <w:rFonts w:cs="Arial"/>
          <w:b/>
          <w:bCs/>
          <w:caps/>
          <w:color w:val="000000" w:themeColor="text1"/>
          <w:szCs w:val="22"/>
        </w:rPr>
      </w:pPr>
      <w:r>
        <w:rPr>
          <w:rFonts w:cs="Arial"/>
          <w:b/>
          <w:bCs/>
          <w:caps/>
          <w:color w:val="000000" w:themeColor="text1"/>
          <w:szCs w:val="22"/>
        </w:rPr>
        <w:t>ANNEX 1</w:t>
      </w:r>
    </w:p>
    <w:p w14:paraId="73D9CCF3" w14:textId="77777777" w:rsidR="008C0AB8" w:rsidRDefault="008C0AB8" w:rsidP="008C0AB8">
      <w:pPr>
        <w:jc w:val="center"/>
        <w:rPr>
          <w:rFonts w:cs="Arial"/>
          <w:b/>
          <w:bCs/>
          <w:caps/>
          <w:color w:val="000000" w:themeColor="text1"/>
          <w:szCs w:val="22"/>
        </w:rPr>
      </w:pPr>
    </w:p>
    <w:p w14:paraId="05988762" w14:textId="28C8FAAF" w:rsidR="008C0AB8" w:rsidRPr="00F864C3" w:rsidRDefault="008C0AB8" w:rsidP="008C0AB8">
      <w:pPr>
        <w:jc w:val="center"/>
        <w:rPr>
          <w:rFonts w:cs="Arial"/>
          <w:b/>
          <w:bCs/>
          <w:i/>
          <w:iCs/>
          <w:szCs w:val="22"/>
        </w:rPr>
      </w:pPr>
      <w:r w:rsidRPr="00F864C3">
        <w:rPr>
          <w:rFonts w:cs="Arial"/>
          <w:b/>
          <w:bCs/>
          <w:i/>
          <w:iCs/>
          <w:szCs w:val="22"/>
        </w:rPr>
        <w:t>NB: Headings in</w:t>
      </w:r>
      <w:r>
        <w:rPr>
          <w:rFonts w:cs="Arial"/>
          <w:b/>
          <w:bCs/>
          <w:i/>
          <w:iCs/>
          <w:szCs w:val="22"/>
        </w:rPr>
        <w:t xml:space="preserve"> </w:t>
      </w:r>
      <w:r w:rsidRPr="00F864C3">
        <w:rPr>
          <w:rFonts w:cs="Arial"/>
          <w:b/>
          <w:bCs/>
          <w:i/>
          <w:iCs/>
          <w:szCs w:val="22"/>
        </w:rPr>
        <w:t xml:space="preserve">square brackets reflect the </w:t>
      </w:r>
      <w:r>
        <w:rPr>
          <w:rFonts w:cs="Arial"/>
          <w:b/>
          <w:bCs/>
          <w:i/>
          <w:iCs/>
          <w:szCs w:val="22"/>
        </w:rPr>
        <w:t xml:space="preserve">suggested </w:t>
      </w:r>
      <w:r w:rsidRPr="00F864C3">
        <w:rPr>
          <w:rFonts w:cs="Arial"/>
          <w:b/>
          <w:bCs/>
          <w:i/>
          <w:iCs/>
          <w:szCs w:val="22"/>
        </w:rPr>
        <w:t>headings for regulations set out in the ‘Illustration of a draft possible outline of the “IMO Net</w:t>
      </w:r>
      <w:r w:rsidR="00FB36BB">
        <w:rPr>
          <w:rFonts w:cs="Arial"/>
          <w:b/>
          <w:bCs/>
          <w:i/>
          <w:iCs/>
          <w:szCs w:val="22"/>
        </w:rPr>
        <w:t xml:space="preserve"> </w:t>
      </w:r>
      <w:r w:rsidRPr="00F864C3">
        <w:rPr>
          <w:rFonts w:cs="Arial"/>
          <w:b/>
          <w:bCs/>
          <w:i/>
          <w:iCs/>
          <w:szCs w:val="22"/>
        </w:rPr>
        <w:t>Zero Framework”’ agreed by MEPC 81</w:t>
      </w:r>
    </w:p>
    <w:p w14:paraId="478E6CE1" w14:textId="77777777" w:rsidR="008C0AB8" w:rsidRDefault="008C0AB8" w:rsidP="008C0AB8">
      <w:pPr>
        <w:jc w:val="center"/>
        <w:rPr>
          <w:rFonts w:cs="Arial"/>
          <w:b/>
          <w:bCs/>
          <w:caps/>
          <w:color w:val="000000" w:themeColor="text1"/>
          <w:szCs w:val="22"/>
        </w:rPr>
      </w:pPr>
    </w:p>
    <w:p w14:paraId="3DF3C902" w14:textId="77777777" w:rsidR="008C0AB8" w:rsidRPr="00E3618B" w:rsidRDefault="008C0AB8" w:rsidP="008C0AB8">
      <w:pPr>
        <w:jc w:val="center"/>
        <w:rPr>
          <w:rFonts w:cs="Arial"/>
          <w:b/>
          <w:bCs/>
          <w:caps/>
          <w:color w:val="000000" w:themeColor="text1"/>
          <w:szCs w:val="22"/>
        </w:rPr>
      </w:pPr>
    </w:p>
    <w:p w14:paraId="4C732053" w14:textId="77777777" w:rsidR="008C0AB8" w:rsidRPr="00E3618B" w:rsidRDefault="008C0AB8" w:rsidP="008C0AB8">
      <w:pPr>
        <w:jc w:val="center"/>
        <w:rPr>
          <w:rFonts w:cs="Arial"/>
          <w:b/>
          <w:bCs/>
          <w:caps/>
          <w:color w:val="000000" w:themeColor="text1"/>
          <w:szCs w:val="22"/>
        </w:rPr>
      </w:pPr>
      <w:r w:rsidRPr="00E3618B">
        <w:rPr>
          <w:rFonts w:cs="Arial"/>
          <w:b/>
          <w:bCs/>
          <w:caps/>
          <w:color w:val="000000" w:themeColor="text1"/>
          <w:szCs w:val="22"/>
        </w:rPr>
        <w:t>REVISED Draft Amendments to MARPOL Annex VI</w:t>
      </w:r>
    </w:p>
    <w:p w14:paraId="77ABFEBE" w14:textId="77777777" w:rsidR="008C0AB8" w:rsidRPr="00E3618B" w:rsidRDefault="008C0AB8" w:rsidP="008C0AB8">
      <w:pPr>
        <w:jc w:val="center"/>
        <w:rPr>
          <w:rFonts w:cs="Arial"/>
          <w:b/>
          <w:bCs/>
          <w:color w:val="000000" w:themeColor="text1"/>
          <w:szCs w:val="22"/>
        </w:rPr>
      </w:pPr>
      <w:r w:rsidRPr="00E3618B">
        <w:rPr>
          <w:rFonts w:cs="Arial"/>
          <w:b/>
          <w:bCs/>
          <w:color w:val="000000" w:themeColor="text1"/>
          <w:szCs w:val="22"/>
        </w:rPr>
        <w:t>“IMO Net Zero Framework”</w:t>
      </w:r>
    </w:p>
    <w:p w14:paraId="1C58C320" w14:textId="77777777" w:rsidR="008C0AB8" w:rsidRPr="00E3618B" w:rsidRDefault="008C0AB8" w:rsidP="008C0AB8">
      <w:pPr>
        <w:jc w:val="center"/>
        <w:rPr>
          <w:rFonts w:cs="Arial"/>
          <w:color w:val="000000" w:themeColor="text1"/>
          <w:szCs w:val="22"/>
        </w:rPr>
      </w:pPr>
    </w:p>
    <w:p w14:paraId="14425F18" w14:textId="77777777" w:rsidR="008C0AB8" w:rsidRPr="00F864C3" w:rsidRDefault="008C0AB8" w:rsidP="008C0AB8">
      <w:pPr>
        <w:rPr>
          <w:rFonts w:cs="Arial"/>
          <w:b/>
          <w:bCs/>
          <w:i/>
          <w:iCs/>
          <w:szCs w:val="22"/>
        </w:rPr>
      </w:pPr>
      <w:r w:rsidRPr="00F864C3">
        <w:rPr>
          <w:rFonts w:cs="Arial"/>
          <w:b/>
          <w:bCs/>
          <w:i/>
          <w:iCs/>
          <w:szCs w:val="22"/>
        </w:rPr>
        <w:t>[Chapter 2 – Survey, certification and means of control</w:t>
      </w:r>
      <w:r>
        <w:rPr>
          <w:rFonts w:cs="Arial"/>
          <w:b/>
          <w:bCs/>
          <w:i/>
          <w:iCs/>
          <w:szCs w:val="22"/>
        </w:rPr>
        <w:t>]</w:t>
      </w:r>
    </w:p>
    <w:p w14:paraId="5146E599" w14:textId="77777777" w:rsidR="008C0AB8" w:rsidRPr="00F864C3" w:rsidRDefault="008C0AB8" w:rsidP="008C0AB8">
      <w:pPr>
        <w:tabs>
          <w:tab w:val="clear" w:pos="851"/>
          <w:tab w:val="left" w:pos="567"/>
        </w:tabs>
        <w:rPr>
          <w:rFonts w:cs="Arial"/>
          <w:b/>
          <w:bCs/>
          <w:i/>
          <w:iCs/>
          <w:szCs w:val="22"/>
        </w:rPr>
      </w:pPr>
    </w:p>
    <w:p w14:paraId="27E2FC2B" w14:textId="77777777" w:rsidR="008C0AB8" w:rsidRPr="00F864C3" w:rsidRDefault="008C0AB8" w:rsidP="008C0AB8">
      <w:pPr>
        <w:tabs>
          <w:tab w:val="clear" w:pos="851"/>
          <w:tab w:val="left" w:pos="567"/>
        </w:tabs>
        <w:rPr>
          <w:rFonts w:cs="Arial"/>
          <w:b/>
          <w:bCs/>
          <w:i/>
          <w:iCs/>
          <w:szCs w:val="22"/>
        </w:rPr>
      </w:pPr>
      <w:r>
        <w:rPr>
          <w:rFonts w:cs="Arial"/>
          <w:b/>
          <w:bCs/>
          <w:i/>
          <w:iCs/>
          <w:szCs w:val="22"/>
        </w:rPr>
        <w:t>[</w:t>
      </w:r>
      <w:r w:rsidRPr="00F864C3">
        <w:rPr>
          <w:rFonts w:cs="Arial"/>
          <w:b/>
          <w:bCs/>
          <w:i/>
          <w:iCs/>
          <w:szCs w:val="22"/>
        </w:rPr>
        <w:t>.3</w:t>
      </w:r>
      <w:r w:rsidRPr="00F864C3">
        <w:rPr>
          <w:rFonts w:cs="Arial"/>
          <w:b/>
          <w:bCs/>
          <w:i/>
          <w:iCs/>
          <w:szCs w:val="22"/>
        </w:rPr>
        <w:tab/>
        <w:t>Certificates and Statements of Compliance (regulation 6)]</w:t>
      </w:r>
    </w:p>
    <w:p w14:paraId="49F0D271" w14:textId="77777777" w:rsidR="008C0AB8" w:rsidRDefault="008C0AB8" w:rsidP="008C0AB8">
      <w:pPr>
        <w:rPr>
          <w:rFonts w:cs="Arial"/>
          <w:b/>
          <w:bCs/>
          <w:color w:val="000000" w:themeColor="text1"/>
          <w:szCs w:val="22"/>
        </w:rPr>
      </w:pPr>
    </w:p>
    <w:p w14:paraId="36C60434" w14:textId="77777777" w:rsidR="008C0AB8" w:rsidRPr="00E3618B" w:rsidRDefault="008C0AB8" w:rsidP="008C0AB8">
      <w:pPr>
        <w:rPr>
          <w:rFonts w:cs="Arial"/>
          <w:b/>
          <w:bCs/>
          <w:color w:val="000000" w:themeColor="text1"/>
          <w:szCs w:val="22"/>
        </w:rPr>
      </w:pPr>
      <w:r w:rsidRPr="00E3618B">
        <w:rPr>
          <w:rFonts w:cs="Arial"/>
          <w:b/>
          <w:bCs/>
          <w:color w:val="000000" w:themeColor="text1"/>
          <w:szCs w:val="22"/>
        </w:rPr>
        <w:t>Regulation 6</w:t>
      </w:r>
    </w:p>
    <w:p w14:paraId="659C1FD9" w14:textId="77777777" w:rsidR="008C0AB8" w:rsidRPr="00E3618B" w:rsidRDefault="008C0AB8" w:rsidP="008C0AB8">
      <w:pPr>
        <w:rPr>
          <w:rFonts w:cs="Arial"/>
          <w:color w:val="000000" w:themeColor="text1"/>
          <w:szCs w:val="22"/>
        </w:rPr>
      </w:pPr>
    </w:p>
    <w:p w14:paraId="317EA352"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The title of the regulation is amended (deletion shown as </w:t>
      </w:r>
      <w:r w:rsidRPr="00E3618B">
        <w:rPr>
          <w:rFonts w:cs="Arial"/>
          <w:strike/>
          <w:color w:val="000000" w:themeColor="text1"/>
          <w:szCs w:val="22"/>
        </w:rPr>
        <w:t>strikethrough</w:t>
      </w:r>
      <w:r w:rsidRPr="00E3618B">
        <w:rPr>
          <w:rFonts w:cs="Arial"/>
          <w:color w:val="000000" w:themeColor="text1"/>
          <w:szCs w:val="22"/>
        </w:rPr>
        <w:t xml:space="preserve">, addition shown </w:t>
      </w:r>
      <w:r w:rsidRPr="00E3618B">
        <w:rPr>
          <w:rFonts w:cs="Arial"/>
          <w:color w:val="000000" w:themeColor="text1"/>
          <w:szCs w:val="22"/>
          <w:u w:val="single"/>
        </w:rPr>
        <w:t>underlined</w:t>
      </w:r>
      <w:r w:rsidRPr="00E3618B">
        <w:rPr>
          <w:rFonts w:cs="Arial"/>
          <w:color w:val="000000" w:themeColor="text1"/>
          <w:szCs w:val="22"/>
        </w:rPr>
        <w:t>) as follows:</w:t>
      </w:r>
    </w:p>
    <w:p w14:paraId="624C524F" w14:textId="77777777" w:rsidR="008C0AB8" w:rsidRPr="00E3618B" w:rsidRDefault="008C0AB8" w:rsidP="008C0AB8">
      <w:pPr>
        <w:rPr>
          <w:rFonts w:cs="Arial"/>
          <w:color w:val="000000" w:themeColor="text1"/>
          <w:szCs w:val="22"/>
        </w:rPr>
      </w:pPr>
    </w:p>
    <w:p w14:paraId="24FE9284"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Issue or endorsement of Certificates and Statements of Compliance related to fuel oil consumption reporting</w:t>
      </w:r>
      <w:r w:rsidRPr="00E3618B">
        <w:rPr>
          <w:rFonts w:cs="Arial"/>
          <w:i/>
          <w:iCs/>
          <w:strike/>
          <w:color w:val="000000" w:themeColor="text1"/>
          <w:szCs w:val="22"/>
        </w:rPr>
        <w:t>, and</w:t>
      </w:r>
      <w:r w:rsidRPr="00E3618B">
        <w:rPr>
          <w:rFonts w:cs="Arial"/>
          <w:i/>
          <w:iCs/>
          <w:color w:val="000000" w:themeColor="text1"/>
          <w:szCs w:val="22"/>
        </w:rPr>
        <w:t xml:space="preserve"> operational carbon intensity rating, </w:t>
      </w:r>
      <w:r w:rsidRPr="00E3618B">
        <w:rPr>
          <w:rFonts w:cs="Arial"/>
          <w:i/>
          <w:iCs/>
          <w:color w:val="000000" w:themeColor="text1"/>
          <w:szCs w:val="22"/>
          <w:u w:val="single"/>
        </w:rPr>
        <w:t>and maritime GHG emissions pricing mechanism</w:t>
      </w:r>
    </w:p>
    <w:p w14:paraId="5547A86B" w14:textId="77777777" w:rsidR="008C0AB8" w:rsidRPr="00E3618B" w:rsidRDefault="008C0AB8" w:rsidP="008C0AB8">
      <w:pPr>
        <w:pStyle w:val="NoSpacing"/>
        <w:rPr>
          <w:color w:val="000000" w:themeColor="text1"/>
        </w:rPr>
      </w:pPr>
    </w:p>
    <w:p w14:paraId="3915023D" w14:textId="77777777" w:rsidR="008C0AB8" w:rsidRPr="00E3618B" w:rsidRDefault="008C0AB8" w:rsidP="008C0AB8">
      <w:pPr>
        <w:rPr>
          <w:rFonts w:cs="Arial"/>
          <w:color w:val="000000" w:themeColor="text1"/>
          <w:szCs w:val="22"/>
        </w:rPr>
      </w:pPr>
      <w:r w:rsidRPr="00E3618B">
        <w:rPr>
          <w:rFonts w:cs="Arial"/>
          <w:color w:val="000000" w:themeColor="text1"/>
          <w:szCs w:val="22"/>
        </w:rPr>
        <w:t>A new title and paragraphs 9 and 10 are added as follows:</w:t>
      </w:r>
    </w:p>
    <w:p w14:paraId="7603B12D" w14:textId="77777777" w:rsidR="008C0AB8" w:rsidRPr="00E3618B" w:rsidRDefault="008C0AB8" w:rsidP="008C0AB8">
      <w:pPr>
        <w:rPr>
          <w:rFonts w:cs="Arial"/>
          <w:color w:val="000000" w:themeColor="text1"/>
          <w:szCs w:val="22"/>
        </w:rPr>
      </w:pPr>
    </w:p>
    <w:p w14:paraId="06B11572" w14:textId="77777777"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Statement of Compliance – Maritime GHG Emissions Pricing Mechanism </w:t>
      </w:r>
    </w:p>
    <w:p w14:paraId="529060E6" w14:textId="77777777" w:rsidR="008C0AB8" w:rsidRPr="00E3618B" w:rsidRDefault="008C0AB8" w:rsidP="008C0AB8">
      <w:pPr>
        <w:rPr>
          <w:rFonts w:cs="Arial"/>
          <w:b/>
          <w:bCs/>
          <w:color w:val="000000" w:themeColor="text1"/>
          <w:szCs w:val="22"/>
        </w:rPr>
      </w:pPr>
    </w:p>
    <w:p w14:paraId="07E23106" w14:textId="77777777" w:rsidR="008C0AB8" w:rsidRPr="00E3618B" w:rsidRDefault="008C0AB8" w:rsidP="008C0AB8">
      <w:pPr>
        <w:rPr>
          <w:rFonts w:cs="Arial"/>
          <w:color w:val="000000" w:themeColor="text1"/>
          <w:szCs w:val="22"/>
        </w:rPr>
      </w:pPr>
      <w:r w:rsidRPr="00E3618B">
        <w:rPr>
          <w:rFonts w:cs="Arial"/>
          <w:color w:val="000000" w:themeColor="text1"/>
          <w:szCs w:val="22"/>
        </w:rPr>
        <w:t>9</w:t>
      </w:r>
      <w:r w:rsidRPr="00E3618B">
        <w:rPr>
          <w:rFonts w:cs="Arial"/>
          <w:color w:val="000000" w:themeColor="text1"/>
          <w:szCs w:val="22"/>
        </w:rPr>
        <w:tab/>
        <w:t xml:space="preserve">Pursuant to regulation </w:t>
      </w:r>
      <w:r>
        <w:rPr>
          <w:rFonts w:cs="Arial"/>
          <w:color w:val="000000" w:themeColor="text1"/>
          <w:szCs w:val="22"/>
        </w:rPr>
        <w:t>40</w:t>
      </w:r>
      <w:r w:rsidRPr="00E3618B">
        <w:rPr>
          <w:rFonts w:cs="Arial"/>
          <w:color w:val="000000" w:themeColor="text1"/>
          <w:szCs w:val="22"/>
        </w:rPr>
        <w:t>.</w:t>
      </w:r>
      <w:r>
        <w:rPr>
          <w:rFonts w:cs="Arial"/>
          <w:color w:val="000000" w:themeColor="text1"/>
          <w:szCs w:val="22"/>
        </w:rPr>
        <w:t>10</w:t>
      </w:r>
      <w:r w:rsidRPr="00E3618B">
        <w:rPr>
          <w:rFonts w:cs="Arial"/>
          <w:color w:val="000000" w:themeColor="text1"/>
          <w:szCs w:val="22"/>
        </w:rPr>
        <w:t xml:space="preserve"> of this Annex, upon receipt of the Annual Account Statement the Administration, or any organization duly authorized by it, shall determine whether the annual GHG fee has been made via the maritime GHG emission pricing mechanism in accordance with regulation </w:t>
      </w:r>
      <w:r>
        <w:rPr>
          <w:rFonts w:cs="Arial"/>
          <w:color w:val="000000" w:themeColor="text1"/>
          <w:szCs w:val="22"/>
        </w:rPr>
        <w:t>40</w:t>
      </w:r>
      <w:r w:rsidRPr="00E3618B">
        <w:rPr>
          <w:rFonts w:cs="Arial"/>
          <w:color w:val="000000" w:themeColor="text1"/>
          <w:szCs w:val="22"/>
        </w:rPr>
        <w:t>.1 of this Annex by verifying whether the information provided in the Annual Account Statement is consistent with the ship’s fuel oil consumption data pursuant to regulation 27.3 of this Annex and, if so, issue a Statement of Compliance related to the maritime GHG emission pricing mechanism no later than [seven] months from the beginning of the calendar year. In every case, the Administration assumes full responsibility for this Statement of Compliance.</w:t>
      </w:r>
    </w:p>
    <w:p w14:paraId="0B7F6203" w14:textId="77777777" w:rsidR="008C0AB8" w:rsidRPr="00E3618B" w:rsidRDefault="008C0AB8" w:rsidP="008C0AB8">
      <w:pPr>
        <w:rPr>
          <w:rFonts w:cs="Arial"/>
          <w:color w:val="000000" w:themeColor="text1"/>
          <w:szCs w:val="22"/>
        </w:rPr>
      </w:pPr>
    </w:p>
    <w:p w14:paraId="30DFD4B9"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10 </w:t>
      </w:r>
      <w:r w:rsidRPr="00E3618B">
        <w:rPr>
          <w:rFonts w:cs="Arial"/>
          <w:color w:val="000000" w:themeColor="text1"/>
          <w:szCs w:val="22"/>
        </w:rPr>
        <w:tab/>
        <w:t xml:space="preserve">With respect to a ship not registered in a Party to this Annex, the Statement of Compliance related to the maritime GHG emission pricing mechanism may be issued by the appropriate Administration of any Party to this Annex, if satisfied that the GHG fee required under regulation </w:t>
      </w:r>
      <w:r>
        <w:rPr>
          <w:rFonts w:cs="Arial"/>
          <w:color w:val="000000" w:themeColor="text1"/>
          <w:szCs w:val="22"/>
        </w:rPr>
        <w:t>40</w:t>
      </w:r>
      <w:r w:rsidRPr="00E3618B">
        <w:rPr>
          <w:rFonts w:cs="Arial"/>
          <w:color w:val="000000" w:themeColor="text1"/>
          <w:szCs w:val="22"/>
        </w:rPr>
        <w:t>.1 of this Annex has been made via the maritime GHG emission pricing mechanism for the previous calendar year for that ship. A Statement of Compliance so issued shall have the same force and receive the same recognition as a Statement of Compliance issued under paragraph 9 of this regulation.</w:t>
      </w:r>
    </w:p>
    <w:p w14:paraId="15F08990" w14:textId="77777777" w:rsidR="008C0AB8" w:rsidRPr="00E3618B" w:rsidRDefault="008C0AB8" w:rsidP="008C0AB8">
      <w:pPr>
        <w:tabs>
          <w:tab w:val="clear" w:pos="851"/>
          <w:tab w:val="left" w:pos="567"/>
        </w:tabs>
        <w:rPr>
          <w:rFonts w:cs="Arial"/>
          <w:b/>
          <w:bCs/>
          <w:color w:val="000000" w:themeColor="text1"/>
          <w:szCs w:val="22"/>
        </w:rPr>
      </w:pPr>
    </w:p>
    <w:p w14:paraId="47DA104F" w14:textId="77777777" w:rsidR="008C0AB8" w:rsidRPr="00E24CF2" w:rsidRDefault="008C0AB8" w:rsidP="008C0AB8">
      <w:pPr>
        <w:tabs>
          <w:tab w:val="clear" w:pos="851"/>
          <w:tab w:val="left" w:pos="567"/>
        </w:tabs>
        <w:rPr>
          <w:rFonts w:cs="Arial"/>
          <w:b/>
          <w:bCs/>
          <w:i/>
          <w:iCs/>
          <w:szCs w:val="22"/>
        </w:rPr>
      </w:pPr>
      <w:r w:rsidRPr="00E24CF2">
        <w:rPr>
          <w:rFonts w:cs="Arial"/>
          <w:b/>
          <w:bCs/>
          <w:i/>
          <w:iCs/>
          <w:szCs w:val="22"/>
        </w:rPr>
        <w:t>[.4</w:t>
      </w:r>
      <w:r w:rsidRPr="00E24CF2">
        <w:rPr>
          <w:rFonts w:cs="Arial"/>
          <w:b/>
          <w:bCs/>
          <w:i/>
          <w:iCs/>
          <w:szCs w:val="22"/>
        </w:rPr>
        <w:tab/>
        <w:t>Forms of certificates and Statements of Compliance (regulation 8)]</w:t>
      </w:r>
    </w:p>
    <w:p w14:paraId="13B08CFB" w14:textId="77777777" w:rsidR="008C0AB8" w:rsidRDefault="008C0AB8" w:rsidP="008C0AB8">
      <w:pPr>
        <w:rPr>
          <w:rFonts w:cs="Arial"/>
          <w:b/>
          <w:bCs/>
          <w:color w:val="000000" w:themeColor="text1"/>
          <w:szCs w:val="22"/>
        </w:rPr>
      </w:pPr>
    </w:p>
    <w:p w14:paraId="771D2A55" w14:textId="77777777" w:rsidR="008C0AB8" w:rsidRPr="00E3618B" w:rsidRDefault="008C0AB8" w:rsidP="008C0AB8">
      <w:pPr>
        <w:rPr>
          <w:rFonts w:cs="Arial"/>
          <w:b/>
          <w:bCs/>
          <w:color w:val="000000" w:themeColor="text1"/>
          <w:szCs w:val="22"/>
        </w:rPr>
      </w:pPr>
      <w:r w:rsidRPr="00E3618B">
        <w:rPr>
          <w:rFonts w:cs="Arial"/>
          <w:b/>
          <w:bCs/>
          <w:color w:val="000000" w:themeColor="text1"/>
          <w:szCs w:val="22"/>
        </w:rPr>
        <w:t>Regulation 8</w:t>
      </w:r>
    </w:p>
    <w:p w14:paraId="34EE0514" w14:textId="77777777" w:rsidR="008C0AB8" w:rsidRPr="00E3618B" w:rsidRDefault="008C0AB8" w:rsidP="008C0AB8">
      <w:pPr>
        <w:rPr>
          <w:rFonts w:cs="Arial"/>
          <w:color w:val="000000" w:themeColor="text1"/>
          <w:szCs w:val="22"/>
        </w:rPr>
      </w:pPr>
    </w:p>
    <w:p w14:paraId="2A459008"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The title of the regulation is amended (deletion shown as </w:t>
      </w:r>
      <w:r w:rsidRPr="00E3618B">
        <w:rPr>
          <w:rFonts w:cs="Arial"/>
          <w:strike/>
          <w:color w:val="000000" w:themeColor="text1"/>
          <w:szCs w:val="22"/>
        </w:rPr>
        <w:t>strikethrough</w:t>
      </w:r>
      <w:r w:rsidRPr="00E3618B">
        <w:rPr>
          <w:rFonts w:cs="Arial"/>
          <w:color w:val="000000" w:themeColor="text1"/>
          <w:szCs w:val="22"/>
        </w:rPr>
        <w:t xml:space="preserve">, addition shown </w:t>
      </w:r>
      <w:r w:rsidRPr="00E3618B">
        <w:rPr>
          <w:rFonts w:cs="Arial"/>
          <w:color w:val="000000" w:themeColor="text1"/>
          <w:szCs w:val="22"/>
          <w:u w:val="single"/>
        </w:rPr>
        <w:t>underlined</w:t>
      </w:r>
      <w:r w:rsidRPr="00E3618B">
        <w:rPr>
          <w:rFonts w:cs="Arial"/>
          <w:color w:val="000000" w:themeColor="text1"/>
          <w:szCs w:val="22"/>
        </w:rPr>
        <w:t>) as follows:</w:t>
      </w:r>
    </w:p>
    <w:p w14:paraId="49B34C7C" w14:textId="77777777" w:rsidR="008C0AB8" w:rsidRPr="00E3618B" w:rsidRDefault="008C0AB8" w:rsidP="008C0AB8">
      <w:pPr>
        <w:rPr>
          <w:rFonts w:cs="Arial"/>
          <w:color w:val="000000" w:themeColor="text1"/>
          <w:szCs w:val="22"/>
        </w:rPr>
      </w:pPr>
    </w:p>
    <w:p w14:paraId="7E8A191E"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lastRenderedPageBreak/>
        <w:t>Form of Certificates and Statements of Compliance related to fuel oil consumption reporting</w:t>
      </w:r>
      <w:r w:rsidRPr="00E3618B">
        <w:rPr>
          <w:rFonts w:cs="Arial"/>
          <w:i/>
          <w:iCs/>
          <w:strike/>
          <w:color w:val="000000" w:themeColor="text1"/>
          <w:szCs w:val="22"/>
        </w:rPr>
        <w:t>, and</w:t>
      </w:r>
      <w:r w:rsidRPr="00E3618B">
        <w:rPr>
          <w:rFonts w:cs="Arial"/>
          <w:i/>
          <w:iCs/>
          <w:color w:val="000000" w:themeColor="text1"/>
          <w:szCs w:val="22"/>
        </w:rPr>
        <w:t xml:space="preserve"> operational carbon intensity rating </w:t>
      </w:r>
      <w:r w:rsidRPr="00E3618B">
        <w:rPr>
          <w:rFonts w:cs="Arial"/>
          <w:i/>
          <w:iCs/>
          <w:color w:val="000000" w:themeColor="text1"/>
          <w:szCs w:val="22"/>
          <w:u w:val="single"/>
        </w:rPr>
        <w:t xml:space="preserve">and the maritime GHG emissions pricing mechanism  </w:t>
      </w:r>
    </w:p>
    <w:p w14:paraId="12F29F91" w14:textId="77777777" w:rsidR="008C0AB8" w:rsidRPr="00E3618B" w:rsidRDefault="008C0AB8" w:rsidP="008C0AB8">
      <w:pPr>
        <w:rPr>
          <w:rFonts w:cs="Arial"/>
          <w:color w:val="000000" w:themeColor="text1"/>
          <w:szCs w:val="22"/>
        </w:rPr>
      </w:pPr>
    </w:p>
    <w:p w14:paraId="00E04756" w14:textId="77777777" w:rsidR="008C0AB8" w:rsidRPr="00E3618B" w:rsidRDefault="008C0AB8" w:rsidP="008C0AB8">
      <w:pPr>
        <w:rPr>
          <w:rFonts w:cs="Arial"/>
          <w:color w:val="000000" w:themeColor="text1"/>
          <w:szCs w:val="22"/>
        </w:rPr>
      </w:pPr>
      <w:r w:rsidRPr="00E3618B">
        <w:rPr>
          <w:rFonts w:cs="Arial"/>
          <w:color w:val="000000" w:themeColor="text1"/>
          <w:szCs w:val="22"/>
        </w:rPr>
        <w:t>A new title and paragraph 5 are added as follows:</w:t>
      </w:r>
    </w:p>
    <w:p w14:paraId="371D508F" w14:textId="77777777" w:rsidR="008C0AB8" w:rsidRDefault="008C0AB8" w:rsidP="008C0AB8">
      <w:pPr>
        <w:rPr>
          <w:rFonts w:cs="Arial"/>
          <w:b/>
          <w:bCs/>
          <w:color w:val="000000" w:themeColor="text1"/>
          <w:szCs w:val="22"/>
        </w:rPr>
      </w:pPr>
    </w:p>
    <w:p w14:paraId="7AA85F21" w14:textId="77777777"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Statement of Compliance – Maritime GHG Emissions Pricing Mechanism  </w:t>
      </w:r>
    </w:p>
    <w:p w14:paraId="285670D9" w14:textId="77777777" w:rsidR="008C0AB8" w:rsidRPr="00E3618B" w:rsidRDefault="008C0AB8" w:rsidP="008C0AB8">
      <w:pPr>
        <w:rPr>
          <w:rFonts w:cs="Arial"/>
          <w:color w:val="000000" w:themeColor="text1"/>
          <w:szCs w:val="22"/>
        </w:rPr>
      </w:pPr>
    </w:p>
    <w:p w14:paraId="1733F20D" w14:textId="77777777" w:rsidR="008C0AB8" w:rsidRPr="00E3618B" w:rsidRDefault="008C0AB8" w:rsidP="008C0AB8">
      <w:pPr>
        <w:rPr>
          <w:rFonts w:cs="Arial"/>
          <w:color w:val="000000" w:themeColor="text1"/>
          <w:szCs w:val="22"/>
        </w:rPr>
      </w:pPr>
      <w:r w:rsidRPr="00E3618B">
        <w:rPr>
          <w:rFonts w:cs="Arial"/>
          <w:color w:val="000000" w:themeColor="text1"/>
          <w:szCs w:val="22"/>
        </w:rPr>
        <w:t>5</w:t>
      </w:r>
      <w:r w:rsidRPr="00E3618B">
        <w:rPr>
          <w:rFonts w:cs="Arial"/>
          <w:color w:val="000000" w:themeColor="text1"/>
          <w:szCs w:val="22"/>
        </w:rPr>
        <w:tab/>
        <w:t>The Statement of Compliance pursuant to regulations 6.9 and 6.10 of this Annex shall be drawn up in a form corresponding to the model given in appendix [XII] to this Annex and shall at least be written in English, French or Spanish. If an official language of the issuing country is also used, this shall prevail in case of a dispute or discrepancy.</w:t>
      </w:r>
    </w:p>
    <w:p w14:paraId="3ED99F8F" w14:textId="77777777" w:rsidR="008C0AB8" w:rsidRPr="00E3618B" w:rsidRDefault="008C0AB8" w:rsidP="008C0AB8">
      <w:pPr>
        <w:rPr>
          <w:rFonts w:cs="Arial"/>
          <w:color w:val="000000" w:themeColor="text1"/>
          <w:szCs w:val="22"/>
        </w:rPr>
      </w:pPr>
    </w:p>
    <w:p w14:paraId="3DCB0BB0" w14:textId="77777777" w:rsidR="008C0AB8" w:rsidRPr="00E3618B" w:rsidRDefault="008C0AB8" w:rsidP="008C0AB8">
      <w:pPr>
        <w:rPr>
          <w:rFonts w:cs="Arial"/>
          <w:b/>
          <w:bCs/>
          <w:color w:val="000000" w:themeColor="text1"/>
          <w:szCs w:val="22"/>
        </w:rPr>
      </w:pPr>
      <w:r w:rsidRPr="00E3618B">
        <w:rPr>
          <w:rFonts w:cs="Arial"/>
          <w:color w:val="000000" w:themeColor="text1"/>
          <w:szCs w:val="22"/>
        </w:rPr>
        <w:t>A new title and paragraph 6 are added as follows:</w:t>
      </w:r>
    </w:p>
    <w:p w14:paraId="318C3781" w14:textId="77777777" w:rsidR="008C0AB8" w:rsidRPr="00E3618B" w:rsidRDefault="008C0AB8" w:rsidP="008C0AB8">
      <w:pPr>
        <w:rPr>
          <w:rFonts w:cs="Arial"/>
          <w:b/>
          <w:bCs/>
          <w:color w:val="000000" w:themeColor="text1"/>
          <w:szCs w:val="22"/>
        </w:rPr>
      </w:pPr>
    </w:p>
    <w:p w14:paraId="6B3A1E29" w14:textId="77777777" w:rsidR="008C0AB8" w:rsidRPr="00E3618B" w:rsidRDefault="008C0AB8" w:rsidP="008C0AB8">
      <w:pPr>
        <w:rPr>
          <w:rFonts w:cs="Arial"/>
          <w:color w:val="000000" w:themeColor="text1"/>
          <w:szCs w:val="22"/>
        </w:rPr>
      </w:pPr>
      <w:r w:rsidRPr="00E3618B">
        <w:rPr>
          <w:rFonts w:cs="Arial"/>
          <w:b/>
          <w:bCs/>
          <w:color w:val="000000" w:themeColor="text1"/>
          <w:szCs w:val="22"/>
        </w:rPr>
        <w:t>Feebate Eligibility Confirmation Statement – Maritime GHG Emissions Pricing Mechanism</w:t>
      </w:r>
    </w:p>
    <w:p w14:paraId="2FA403FB" w14:textId="77777777" w:rsidR="008C0AB8" w:rsidRPr="00E3618B" w:rsidRDefault="008C0AB8" w:rsidP="008C0AB8">
      <w:pPr>
        <w:rPr>
          <w:rFonts w:cs="Arial"/>
          <w:color w:val="000000" w:themeColor="text1"/>
          <w:szCs w:val="22"/>
        </w:rPr>
      </w:pPr>
    </w:p>
    <w:p w14:paraId="42397C0A" w14:textId="77777777" w:rsidR="008C0AB8" w:rsidRPr="00E3618B" w:rsidRDefault="008C0AB8" w:rsidP="008C0AB8">
      <w:pPr>
        <w:rPr>
          <w:rFonts w:cs="Arial"/>
          <w:color w:val="000000" w:themeColor="text1"/>
          <w:szCs w:val="22"/>
        </w:rPr>
      </w:pPr>
      <w:r w:rsidRPr="00E3618B">
        <w:rPr>
          <w:rFonts w:cs="Arial"/>
          <w:color w:val="000000" w:themeColor="text1"/>
          <w:szCs w:val="22"/>
        </w:rPr>
        <w:t>6</w:t>
      </w:r>
      <w:r w:rsidRPr="00E3618B">
        <w:rPr>
          <w:rFonts w:cs="Arial"/>
          <w:color w:val="000000" w:themeColor="text1"/>
          <w:szCs w:val="22"/>
        </w:rPr>
        <w:tab/>
        <w:t xml:space="preserve">Pursuant to regulation </w:t>
      </w:r>
      <w:r>
        <w:rPr>
          <w:rFonts w:cs="Arial"/>
          <w:color w:val="000000" w:themeColor="text1"/>
          <w:szCs w:val="22"/>
        </w:rPr>
        <w:t>41</w:t>
      </w:r>
      <w:r w:rsidRPr="00E3618B">
        <w:rPr>
          <w:rFonts w:cs="Arial"/>
          <w:color w:val="000000" w:themeColor="text1"/>
          <w:szCs w:val="22"/>
        </w:rPr>
        <w:t>.4 of this Annex, the Feebate Eligibility Confirmation Statement shall be drawn up in a form corresponding to the model given in appendix [XIII] to this Annex and shall at least be written in English, French or Spanish. If an official language of the issuing country is also used, this shall prevail in case of a dispute or discrepancy.</w:t>
      </w:r>
    </w:p>
    <w:p w14:paraId="32586CE4" w14:textId="77777777" w:rsidR="008C0AB8" w:rsidRPr="00E3618B" w:rsidRDefault="008C0AB8" w:rsidP="008C0AB8">
      <w:pPr>
        <w:keepNext/>
        <w:keepLines/>
        <w:tabs>
          <w:tab w:val="clear" w:pos="851"/>
          <w:tab w:val="left" w:pos="567"/>
        </w:tabs>
        <w:rPr>
          <w:rFonts w:cs="Arial"/>
          <w:b/>
          <w:bCs/>
          <w:color w:val="000000" w:themeColor="text1"/>
          <w:szCs w:val="22"/>
        </w:rPr>
      </w:pPr>
    </w:p>
    <w:p w14:paraId="055637D4" w14:textId="77777777" w:rsidR="008C0AB8" w:rsidRPr="00D32A86" w:rsidRDefault="008C0AB8" w:rsidP="008C0AB8">
      <w:pPr>
        <w:keepNext/>
        <w:keepLines/>
        <w:tabs>
          <w:tab w:val="clear" w:pos="851"/>
          <w:tab w:val="left" w:pos="567"/>
        </w:tabs>
        <w:rPr>
          <w:rFonts w:cs="Arial"/>
          <w:b/>
          <w:bCs/>
          <w:i/>
          <w:iCs/>
          <w:szCs w:val="22"/>
        </w:rPr>
      </w:pPr>
      <w:r w:rsidRPr="00D32A86">
        <w:rPr>
          <w:rFonts w:cs="Arial"/>
          <w:b/>
          <w:bCs/>
          <w:i/>
          <w:iCs/>
          <w:szCs w:val="22"/>
        </w:rPr>
        <w:t>[.5</w:t>
      </w:r>
      <w:r w:rsidRPr="00D32A86">
        <w:rPr>
          <w:rFonts w:cs="Arial"/>
          <w:b/>
          <w:bCs/>
          <w:i/>
          <w:iCs/>
          <w:szCs w:val="22"/>
        </w:rPr>
        <w:tab/>
        <w:t>Duration and validity of Certificates and Statements of Compliance (regulation 9)]</w:t>
      </w:r>
    </w:p>
    <w:p w14:paraId="57A8810D" w14:textId="77777777" w:rsidR="008C0AB8" w:rsidRDefault="008C0AB8" w:rsidP="008C0AB8">
      <w:pPr>
        <w:keepNext/>
        <w:keepLines/>
        <w:rPr>
          <w:rFonts w:cs="Arial"/>
          <w:b/>
          <w:bCs/>
          <w:color w:val="000000" w:themeColor="text1"/>
          <w:szCs w:val="22"/>
        </w:rPr>
      </w:pPr>
    </w:p>
    <w:p w14:paraId="766BC309" w14:textId="77777777" w:rsidR="008C0AB8" w:rsidRPr="00E3618B" w:rsidRDefault="008C0AB8" w:rsidP="008C0AB8">
      <w:pPr>
        <w:keepNext/>
        <w:keepLines/>
        <w:rPr>
          <w:rFonts w:cs="Arial"/>
          <w:b/>
          <w:bCs/>
          <w:color w:val="000000" w:themeColor="text1"/>
          <w:szCs w:val="22"/>
        </w:rPr>
      </w:pPr>
      <w:r w:rsidRPr="00E3618B">
        <w:rPr>
          <w:rFonts w:cs="Arial"/>
          <w:b/>
          <w:bCs/>
          <w:color w:val="000000" w:themeColor="text1"/>
          <w:szCs w:val="22"/>
        </w:rPr>
        <w:t>Regulation 9</w:t>
      </w:r>
    </w:p>
    <w:p w14:paraId="1F261F04" w14:textId="77777777" w:rsidR="008C0AB8" w:rsidRPr="00E3618B" w:rsidRDefault="008C0AB8" w:rsidP="008C0AB8">
      <w:pPr>
        <w:keepNext/>
        <w:keepLines/>
        <w:rPr>
          <w:rFonts w:cs="Arial"/>
          <w:color w:val="000000" w:themeColor="text1"/>
          <w:szCs w:val="22"/>
        </w:rPr>
      </w:pPr>
    </w:p>
    <w:p w14:paraId="1480A1EA" w14:textId="77777777" w:rsidR="008C0AB8" w:rsidRPr="00E3618B" w:rsidRDefault="008C0AB8" w:rsidP="008C0AB8">
      <w:pPr>
        <w:keepNext/>
        <w:keepLines/>
        <w:rPr>
          <w:rFonts w:cs="Arial"/>
          <w:color w:val="000000" w:themeColor="text1"/>
          <w:szCs w:val="22"/>
        </w:rPr>
      </w:pPr>
      <w:r w:rsidRPr="00E3618B">
        <w:rPr>
          <w:rFonts w:cs="Arial"/>
          <w:color w:val="000000" w:themeColor="text1"/>
          <w:szCs w:val="22"/>
        </w:rPr>
        <w:t xml:space="preserve">The title of the regulation is amended (deletion shown as </w:t>
      </w:r>
      <w:r w:rsidRPr="00E3618B">
        <w:rPr>
          <w:rFonts w:cs="Arial"/>
          <w:strike/>
          <w:color w:val="000000" w:themeColor="text1"/>
          <w:szCs w:val="22"/>
        </w:rPr>
        <w:t>strikethrough</w:t>
      </w:r>
      <w:r w:rsidRPr="00E3618B">
        <w:rPr>
          <w:rFonts w:cs="Arial"/>
          <w:color w:val="000000" w:themeColor="text1"/>
          <w:szCs w:val="22"/>
        </w:rPr>
        <w:t xml:space="preserve">, addition shown </w:t>
      </w:r>
      <w:r w:rsidRPr="00E3618B">
        <w:rPr>
          <w:rFonts w:cs="Arial"/>
          <w:color w:val="000000" w:themeColor="text1"/>
          <w:szCs w:val="22"/>
          <w:u w:val="single"/>
        </w:rPr>
        <w:t>underlined</w:t>
      </w:r>
      <w:r w:rsidRPr="00E3618B">
        <w:rPr>
          <w:rFonts w:cs="Arial"/>
          <w:color w:val="000000" w:themeColor="text1"/>
          <w:szCs w:val="22"/>
        </w:rPr>
        <w:t>) as follows:</w:t>
      </w:r>
    </w:p>
    <w:p w14:paraId="25D05019" w14:textId="77777777" w:rsidR="008C0AB8" w:rsidRPr="00E3618B" w:rsidRDefault="008C0AB8" w:rsidP="008C0AB8">
      <w:pPr>
        <w:rPr>
          <w:rFonts w:cs="Arial"/>
          <w:color w:val="000000" w:themeColor="text1"/>
          <w:szCs w:val="22"/>
        </w:rPr>
      </w:pPr>
    </w:p>
    <w:p w14:paraId="439D8A80"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Duration and validity of Certificates and Statements of Compliance related to fuel oil consumption reporting</w:t>
      </w:r>
      <w:r w:rsidRPr="00E3618B">
        <w:rPr>
          <w:rFonts w:cs="Arial"/>
          <w:i/>
          <w:iCs/>
          <w:strike/>
          <w:color w:val="000000" w:themeColor="text1"/>
          <w:szCs w:val="22"/>
        </w:rPr>
        <w:t>, and</w:t>
      </w:r>
      <w:r w:rsidRPr="00E3618B">
        <w:rPr>
          <w:rFonts w:cs="Arial"/>
          <w:i/>
          <w:iCs/>
          <w:color w:val="000000" w:themeColor="text1"/>
          <w:szCs w:val="22"/>
        </w:rPr>
        <w:t xml:space="preserve"> operational carbon intensity rating, </w:t>
      </w:r>
      <w:r w:rsidRPr="00E3618B">
        <w:rPr>
          <w:rFonts w:cs="Arial"/>
          <w:i/>
          <w:iCs/>
          <w:color w:val="000000" w:themeColor="text1"/>
          <w:szCs w:val="22"/>
          <w:u w:val="single"/>
        </w:rPr>
        <w:t xml:space="preserve">and maritime GHG emissions pricing mechanism </w:t>
      </w:r>
    </w:p>
    <w:p w14:paraId="0DD72BEA" w14:textId="77777777" w:rsidR="008C0AB8" w:rsidRPr="00E3618B" w:rsidRDefault="008C0AB8" w:rsidP="008C0AB8">
      <w:pPr>
        <w:rPr>
          <w:rFonts w:cs="Arial"/>
          <w:color w:val="000000" w:themeColor="text1"/>
          <w:szCs w:val="22"/>
        </w:rPr>
      </w:pPr>
    </w:p>
    <w:p w14:paraId="12BC7A91" w14:textId="77777777" w:rsidR="008C0AB8" w:rsidRPr="00E3618B" w:rsidRDefault="008C0AB8" w:rsidP="008C0AB8">
      <w:pPr>
        <w:rPr>
          <w:rFonts w:cs="Arial"/>
          <w:color w:val="000000" w:themeColor="text1"/>
          <w:szCs w:val="22"/>
        </w:rPr>
      </w:pPr>
      <w:r w:rsidRPr="00E3618B">
        <w:rPr>
          <w:rFonts w:cs="Arial"/>
          <w:color w:val="000000" w:themeColor="text1"/>
          <w:szCs w:val="22"/>
        </w:rPr>
        <w:t>A new title and paragraph 13 are added as follows:</w:t>
      </w:r>
    </w:p>
    <w:p w14:paraId="63B6B5E2" w14:textId="77777777" w:rsidR="008C0AB8" w:rsidRPr="00E3618B" w:rsidRDefault="008C0AB8" w:rsidP="008C0AB8">
      <w:pPr>
        <w:rPr>
          <w:rFonts w:cs="Arial"/>
          <w:color w:val="000000" w:themeColor="text1"/>
          <w:szCs w:val="22"/>
        </w:rPr>
      </w:pPr>
    </w:p>
    <w:p w14:paraId="736C9B8E" w14:textId="77777777" w:rsidR="008C0AB8" w:rsidRPr="00E3618B" w:rsidRDefault="008C0AB8" w:rsidP="008C0AB8">
      <w:pPr>
        <w:rPr>
          <w:rFonts w:cs="Arial"/>
          <w:color w:val="000000" w:themeColor="text1"/>
          <w:szCs w:val="22"/>
        </w:rPr>
      </w:pPr>
      <w:r w:rsidRPr="00E3618B">
        <w:rPr>
          <w:rFonts w:cs="Arial"/>
          <w:b/>
          <w:bCs/>
          <w:color w:val="000000" w:themeColor="text1"/>
          <w:szCs w:val="22"/>
        </w:rPr>
        <w:t xml:space="preserve">Statement of Compliance – Maritime GHG Emissions Pricing Mechanism </w:t>
      </w:r>
    </w:p>
    <w:p w14:paraId="28988B7A" w14:textId="77777777" w:rsidR="008C0AB8" w:rsidRPr="00E3618B" w:rsidRDefault="008C0AB8" w:rsidP="008C0AB8">
      <w:pPr>
        <w:rPr>
          <w:rFonts w:cs="Arial"/>
          <w:color w:val="000000" w:themeColor="text1"/>
          <w:szCs w:val="22"/>
        </w:rPr>
      </w:pPr>
    </w:p>
    <w:p w14:paraId="7F2B8894" w14:textId="77777777" w:rsidR="008C0AB8" w:rsidRPr="00E3618B" w:rsidRDefault="008C0AB8" w:rsidP="008C0AB8">
      <w:pPr>
        <w:rPr>
          <w:rFonts w:cs="Arial"/>
          <w:color w:val="000000" w:themeColor="text1"/>
          <w:szCs w:val="22"/>
        </w:rPr>
      </w:pPr>
      <w:r w:rsidRPr="00E3618B">
        <w:rPr>
          <w:rFonts w:cs="Arial"/>
          <w:color w:val="000000" w:themeColor="text1"/>
          <w:szCs w:val="22"/>
        </w:rPr>
        <w:t>13</w:t>
      </w:r>
      <w:r w:rsidRPr="00E3618B">
        <w:rPr>
          <w:rFonts w:cs="Arial"/>
          <w:color w:val="000000" w:themeColor="text1"/>
          <w:szCs w:val="22"/>
        </w:rPr>
        <w:tab/>
        <w:t>The Statement of Compliance issued pursuant to regulations 6.9 and 6.10 of this Annex shall be valid for the calendar year in which it is issued and for the first [seven] months of the following calendar year. All Statements of Compliance shall be kept on board for at least five years.</w:t>
      </w:r>
    </w:p>
    <w:p w14:paraId="44239DFC" w14:textId="77777777" w:rsidR="008C0AB8" w:rsidRPr="00E3618B" w:rsidRDefault="008C0AB8" w:rsidP="008C0AB8">
      <w:pPr>
        <w:tabs>
          <w:tab w:val="clear" w:pos="851"/>
          <w:tab w:val="left" w:pos="567"/>
        </w:tabs>
        <w:rPr>
          <w:rFonts w:cs="Arial"/>
          <w:color w:val="000000" w:themeColor="text1"/>
          <w:szCs w:val="22"/>
        </w:rPr>
      </w:pPr>
    </w:p>
    <w:p w14:paraId="2570AF14" w14:textId="77777777" w:rsidR="008C0AB8" w:rsidRPr="008E048B" w:rsidRDefault="008C0AB8" w:rsidP="008C0AB8">
      <w:pPr>
        <w:tabs>
          <w:tab w:val="clear" w:pos="851"/>
          <w:tab w:val="left" w:pos="567"/>
        </w:tabs>
        <w:rPr>
          <w:rFonts w:cs="Arial"/>
          <w:b/>
          <w:bCs/>
          <w:i/>
          <w:iCs/>
          <w:szCs w:val="22"/>
        </w:rPr>
      </w:pPr>
      <w:r w:rsidRPr="008E048B">
        <w:rPr>
          <w:rFonts w:cs="Arial"/>
          <w:b/>
          <w:bCs/>
          <w:i/>
          <w:iCs/>
          <w:szCs w:val="22"/>
        </w:rPr>
        <w:t>[.6</w:t>
      </w:r>
      <w:r w:rsidRPr="008E048B">
        <w:rPr>
          <w:rFonts w:cs="Arial"/>
          <w:b/>
          <w:bCs/>
          <w:i/>
          <w:iCs/>
          <w:szCs w:val="22"/>
        </w:rPr>
        <w:tab/>
        <w:t>Port State control (regulation 10)]</w:t>
      </w:r>
    </w:p>
    <w:p w14:paraId="6EF966A2" w14:textId="77777777" w:rsidR="008C0AB8" w:rsidRPr="00EB06A9" w:rsidRDefault="008C0AB8" w:rsidP="008C0AB8">
      <w:pPr>
        <w:rPr>
          <w:rFonts w:cs="Arial"/>
          <w:b/>
          <w:bCs/>
          <w:i/>
          <w:iCs/>
          <w:color w:val="000000" w:themeColor="text1"/>
          <w:szCs w:val="22"/>
        </w:rPr>
      </w:pPr>
    </w:p>
    <w:p w14:paraId="598B2B21" w14:textId="3F037C00" w:rsidR="008C0AB8" w:rsidRPr="00E3618B" w:rsidRDefault="008C0AB8" w:rsidP="008C0AB8">
      <w:pPr>
        <w:rPr>
          <w:rFonts w:cs="Arial"/>
          <w:b/>
          <w:bCs/>
          <w:color w:val="000000" w:themeColor="text1"/>
          <w:szCs w:val="22"/>
        </w:rPr>
      </w:pPr>
      <w:r w:rsidRPr="00E3618B">
        <w:rPr>
          <w:rFonts w:cs="Arial"/>
          <w:b/>
          <w:bCs/>
          <w:color w:val="000000" w:themeColor="text1"/>
          <w:szCs w:val="22"/>
        </w:rPr>
        <w:t>Regulation 10</w:t>
      </w:r>
    </w:p>
    <w:p w14:paraId="4B027145"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Port State control on operational requirements</w:t>
      </w:r>
    </w:p>
    <w:p w14:paraId="37C04D91" w14:textId="77777777" w:rsidR="008C0AB8" w:rsidRPr="00E3618B" w:rsidRDefault="008C0AB8" w:rsidP="008C0AB8">
      <w:pPr>
        <w:rPr>
          <w:rFonts w:cs="Arial"/>
          <w:color w:val="000000" w:themeColor="text1"/>
          <w:szCs w:val="22"/>
        </w:rPr>
      </w:pPr>
    </w:p>
    <w:p w14:paraId="676C83EC" w14:textId="77777777" w:rsidR="008C0AB8" w:rsidRPr="00E3618B" w:rsidRDefault="008C0AB8" w:rsidP="008C0AB8">
      <w:pPr>
        <w:rPr>
          <w:rFonts w:cs="Arial"/>
          <w:color w:val="000000" w:themeColor="text1"/>
          <w:szCs w:val="22"/>
        </w:rPr>
      </w:pPr>
      <w:r w:rsidRPr="00E3618B">
        <w:rPr>
          <w:rFonts w:cs="Arial"/>
          <w:color w:val="000000" w:themeColor="text1"/>
          <w:szCs w:val="22"/>
        </w:rPr>
        <w:t>A new paragraph 7 is added as follows:</w:t>
      </w:r>
    </w:p>
    <w:p w14:paraId="490DE32E" w14:textId="77777777" w:rsidR="008C0AB8" w:rsidRPr="00E3618B" w:rsidRDefault="008C0AB8" w:rsidP="008C0AB8">
      <w:pPr>
        <w:rPr>
          <w:rFonts w:cs="Arial"/>
          <w:color w:val="000000" w:themeColor="text1"/>
          <w:szCs w:val="22"/>
        </w:rPr>
      </w:pPr>
    </w:p>
    <w:p w14:paraId="58F94A29" w14:textId="2BB14492" w:rsidR="00B9322C" w:rsidRPr="004E3092" w:rsidRDefault="008C0AB8" w:rsidP="008C0AB8">
      <w:pPr>
        <w:rPr>
          <w:rFonts w:cs="Arial"/>
          <w:color w:val="000000" w:themeColor="text1"/>
          <w:szCs w:val="22"/>
        </w:rPr>
      </w:pPr>
      <w:r w:rsidRPr="00E3618B">
        <w:rPr>
          <w:rFonts w:cs="Arial"/>
          <w:color w:val="000000" w:themeColor="text1"/>
          <w:szCs w:val="22"/>
        </w:rPr>
        <w:t>7</w:t>
      </w:r>
      <w:r w:rsidRPr="00E3618B">
        <w:rPr>
          <w:rFonts w:cs="Arial"/>
          <w:color w:val="000000" w:themeColor="text1"/>
          <w:szCs w:val="22"/>
        </w:rPr>
        <w:tab/>
        <w:t>In relation to chapter 5 of this Annex, any port State inspection shall be limited to verifying, when appropriate, that there is a valid Statement of Compliance related to the maritime GHG emissions pricing mechanism</w:t>
      </w:r>
      <w:r w:rsidRPr="00E3618B">
        <w:rPr>
          <w:rFonts w:cs="Arial"/>
          <w:i/>
          <w:iCs/>
          <w:color w:val="000000" w:themeColor="text1"/>
          <w:szCs w:val="22"/>
        </w:rPr>
        <w:t xml:space="preserve"> </w:t>
      </w:r>
      <w:r w:rsidRPr="00E3618B">
        <w:rPr>
          <w:rFonts w:cs="Arial"/>
          <w:color w:val="000000" w:themeColor="text1"/>
          <w:szCs w:val="22"/>
        </w:rPr>
        <w:t>on board, in accordance with article 5 of the present Convention</w:t>
      </w:r>
      <w:r w:rsidR="000D37E7">
        <w:rPr>
          <w:rFonts w:cs="Arial"/>
          <w:color w:val="000000" w:themeColor="text1"/>
          <w:szCs w:val="22"/>
        </w:rPr>
        <w:t>.</w:t>
      </w:r>
    </w:p>
    <w:p w14:paraId="239C065E" w14:textId="77777777" w:rsidR="008C0AB8" w:rsidRPr="004407F8" w:rsidRDefault="008C0AB8" w:rsidP="008C0AB8">
      <w:pPr>
        <w:rPr>
          <w:rFonts w:cs="Arial"/>
          <w:b/>
          <w:bCs/>
          <w:i/>
          <w:iCs/>
          <w:szCs w:val="22"/>
        </w:rPr>
      </w:pPr>
      <w:r w:rsidRPr="004407F8">
        <w:rPr>
          <w:rFonts w:cs="Arial"/>
          <w:b/>
          <w:bCs/>
          <w:i/>
          <w:iCs/>
          <w:szCs w:val="22"/>
        </w:rPr>
        <w:lastRenderedPageBreak/>
        <w:t>[Chapter 4 – Regulations on the carbon intensity of international shipping]</w:t>
      </w:r>
    </w:p>
    <w:p w14:paraId="33AD0F14" w14:textId="77777777" w:rsidR="008C0AB8" w:rsidRPr="004407F8" w:rsidRDefault="008C0AB8" w:rsidP="008C0AB8">
      <w:pPr>
        <w:rPr>
          <w:rFonts w:cs="Arial"/>
          <w:i/>
          <w:iCs/>
          <w:szCs w:val="22"/>
        </w:rPr>
      </w:pPr>
      <w:r w:rsidRPr="004407F8">
        <w:rPr>
          <w:rFonts w:cs="Arial"/>
          <w:i/>
          <w:iCs/>
          <w:szCs w:val="22"/>
        </w:rPr>
        <w:tab/>
      </w:r>
    </w:p>
    <w:p w14:paraId="11283E52" w14:textId="77777777" w:rsidR="008C0AB8" w:rsidRPr="004407F8" w:rsidRDefault="008C0AB8" w:rsidP="008C0AB8">
      <w:pPr>
        <w:tabs>
          <w:tab w:val="clear" w:pos="851"/>
          <w:tab w:val="left" w:pos="567"/>
        </w:tabs>
        <w:rPr>
          <w:rFonts w:cs="Arial"/>
          <w:b/>
          <w:bCs/>
          <w:i/>
          <w:iCs/>
          <w:szCs w:val="22"/>
        </w:rPr>
      </w:pPr>
      <w:r w:rsidRPr="004407F8">
        <w:rPr>
          <w:rFonts w:cs="Arial"/>
          <w:b/>
          <w:bCs/>
          <w:i/>
          <w:iCs/>
          <w:szCs w:val="22"/>
        </w:rPr>
        <w:t>[.8</w:t>
      </w:r>
      <w:r w:rsidRPr="004407F8">
        <w:rPr>
          <w:rFonts w:cs="Arial"/>
          <w:b/>
          <w:bCs/>
          <w:i/>
          <w:iCs/>
          <w:szCs w:val="22"/>
        </w:rPr>
        <w:tab/>
        <w:t>Data Collection System (regulation 27)]</w:t>
      </w:r>
    </w:p>
    <w:p w14:paraId="4FEB9147" w14:textId="77777777" w:rsidR="008C0AB8" w:rsidRDefault="008C0AB8" w:rsidP="008C0AB8">
      <w:pPr>
        <w:rPr>
          <w:rFonts w:cs="Arial"/>
          <w:color w:val="000000" w:themeColor="text1"/>
          <w:szCs w:val="22"/>
        </w:rPr>
      </w:pPr>
    </w:p>
    <w:p w14:paraId="46D32AD2" w14:textId="54BD6F40" w:rsidR="008C0AB8" w:rsidRPr="00E3618B" w:rsidRDefault="008C0AB8" w:rsidP="008C0AB8">
      <w:pPr>
        <w:rPr>
          <w:color w:val="000000" w:themeColor="text1"/>
        </w:rPr>
      </w:pPr>
      <w:r w:rsidRPr="00E3618B">
        <w:rPr>
          <w:b/>
          <w:bCs/>
          <w:color w:val="000000" w:themeColor="text1"/>
        </w:rPr>
        <w:t xml:space="preserve">Regulation 27 </w:t>
      </w:r>
    </w:p>
    <w:p w14:paraId="2E1E81D9" w14:textId="77777777" w:rsidR="008C0AB8" w:rsidRPr="00E3618B" w:rsidRDefault="008C0AB8" w:rsidP="008C0AB8">
      <w:pPr>
        <w:rPr>
          <w:i/>
          <w:iCs/>
          <w:color w:val="000000" w:themeColor="text1"/>
        </w:rPr>
      </w:pPr>
      <w:r w:rsidRPr="00E3618B">
        <w:rPr>
          <w:i/>
          <w:iCs/>
          <w:color w:val="000000" w:themeColor="text1"/>
        </w:rPr>
        <w:t xml:space="preserve">Data Collection System </w:t>
      </w:r>
    </w:p>
    <w:p w14:paraId="63682737" w14:textId="77777777" w:rsidR="008C0AB8" w:rsidRPr="00E3618B" w:rsidRDefault="008C0AB8" w:rsidP="008C0AB8">
      <w:pPr>
        <w:rPr>
          <w:i/>
          <w:iCs/>
          <w:color w:val="000000" w:themeColor="text1"/>
        </w:rPr>
      </w:pPr>
    </w:p>
    <w:p w14:paraId="2DB54A77" w14:textId="77777777" w:rsidR="008C0AB8" w:rsidRPr="00E3618B" w:rsidRDefault="008C0AB8" w:rsidP="008C0AB8">
      <w:pPr>
        <w:rPr>
          <w:rFonts w:cs="Arial"/>
          <w:i/>
          <w:iCs/>
          <w:color w:val="000000" w:themeColor="text1"/>
          <w:szCs w:val="22"/>
        </w:rPr>
      </w:pPr>
      <w:r w:rsidRPr="00E3618B">
        <w:rPr>
          <w:i/>
          <w:iCs/>
          <w:color w:val="000000" w:themeColor="text1"/>
        </w:rPr>
        <w:t>[amendments to be added]</w:t>
      </w:r>
    </w:p>
    <w:p w14:paraId="70373E9A" w14:textId="77777777" w:rsidR="008C0AB8" w:rsidRDefault="008C0AB8" w:rsidP="008C0AB8">
      <w:pPr>
        <w:rPr>
          <w:rFonts w:cs="Arial"/>
          <w:color w:val="000000" w:themeColor="text1"/>
          <w:szCs w:val="22"/>
        </w:rPr>
      </w:pPr>
    </w:p>
    <w:p w14:paraId="12698E63" w14:textId="22760AFC" w:rsidR="008C0AB8" w:rsidRPr="001961E4" w:rsidRDefault="008C0AB8" w:rsidP="008C0AB8">
      <w:pPr>
        <w:rPr>
          <w:rFonts w:cs="Arial"/>
          <w:b/>
          <w:bCs/>
          <w:i/>
          <w:iCs/>
          <w:szCs w:val="22"/>
        </w:rPr>
      </w:pPr>
      <w:r w:rsidRPr="001961E4">
        <w:rPr>
          <w:rFonts w:cs="Arial"/>
          <w:b/>
          <w:bCs/>
          <w:i/>
          <w:iCs/>
          <w:szCs w:val="22"/>
        </w:rPr>
        <w:t>[New Chapter 5 – Regulations on the IMO net</w:t>
      </w:r>
      <w:r w:rsidR="0023657C">
        <w:rPr>
          <w:rFonts w:cs="Arial"/>
          <w:b/>
          <w:bCs/>
          <w:i/>
          <w:iCs/>
          <w:szCs w:val="22"/>
        </w:rPr>
        <w:t xml:space="preserve"> </w:t>
      </w:r>
      <w:r w:rsidRPr="001961E4">
        <w:rPr>
          <w:rFonts w:cs="Arial"/>
          <w:b/>
          <w:bCs/>
          <w:i/>
          <w:iCs/>
          <w:szCs w:val="22"/>
        </w:rPr>
        <w:t>zero framework]</w:t>
      </w:r>
    </w:p>
    <w:p w14:paraId="768829ED" w14:textId="77777777" w:rsidR="008C0AB8" w:rsidRPr="001961E4" w:rsidRDefault="008C0AB8" w:rsidP="008C0AB8">
      <w:pPr>
        <w:rPr>
          <w:rFonts w:cs="Arial"/>
          <w:i/>
          <w:iCs/>
          <w:szCs w:val="22"/>
        </w:rPr>
      </w:pPr>
    </w:p>
    <w:p w14:paraId="60BD719E" w14:textId="77777777" w:rsidR="008C0AB8" w:rsidRPr="001961E4" w:rsidRDefault="008C0AB8" w:rsidP="008C0AB8">
      <w:pPr>
        <w:ind w:left="851" w:hanging="851"/>
        <w:rPr>
          <w:rFonts w:cs="Arial"/>
          <w:b/>
          <w:bCs/>
          <w:i/>
          <w:iCs/>
          <w:szCs w:val="22"/>
        </w:rPr>
      </w:pPr>
      <w:r w:rsidRPr="001961E4">
        <w:rPr>
          <w:rFonts w:cs="Arial"/>
          <w:b/>
          <w:bCs/>
          <w:i/>
          <w:iCs/>
          <w:szCs w:val="22"/>
        </w:rPr>
        <w:t>[.9</w:t>
      </w:r>
      <w:r w:rsidRPr="001961E4">
        <w:rPr>
          <w:rFonts w:cs="Arial"/>
          <w:b/>
          <w:bCs/>
          <w:i/>
          <w:iCs/>
          <w:szCs w:val="22"/>
        </w:rPr>
        <w:tab/>
        <w:t>New Chapter 5.1: Goal-based marine fuel standard regulating the phased reduction of the marine fuel’s GHG intensity]</w:t>
      </w:r>
    </w:p>
    <w:p w14:paraId="5EBC9270" w14:textId="77777777" w:rsidR="008C0AB8" w:rsidRPr="00E3618B" w:rsidRDefault="008C0AB8" w:rsidP="008C0AB8">
      <w:pPr>
        <w:rPr>
          <w:rFonts w:cs="Arial"/>
          <w:color w:val="000000" w:themeColor="text1"/>
          <w:szCs w:val="22"/>
        </w:rPr>
      </w:pPr>
    </w:p>
    <w:p w14:paraId="034ABCF1" w14:textId="77777777" w:rsidR="008C0AB8" w:rsidRPr="00E3618B" w:rsidRDefault="008C0AB8" w:rsidP="008C0AB8">
      <w:pPr>
        <w:rPr>
          <w:rFonts w:cs="Arial"/>
          <w:color w:val="000000" w:themeColor="text1"/>
          <w:szCs w:val="22"/>
        </w:rPr>
      </w:pPr>
      <w:r w:rsidRPr="00E3618B">
        <w:rPr>
          <w:rFonts w:cs="Arial"/>
          <w:color w:val="000000" w:themeColor="text1"/>
          <w:szCs w:val="22"/>
        </w:rPr>
        <w:t>A new chapter 5 is added as follows:</w:t>
      </w:r>
    </w:p>
    <w:p w14:paraId="653F0C64" w14:textId="77777777" w:rsidR="008C0AB8" w:rsidRPr="00E3618B" w:rsidRDefault="008C0AB8" w:rsidP="008C0AB8">
      <w:pPr>
        <w:rPr>
          <w:rFonts w:cs="Arial"/>
          <w:b/>
          <w:bCs/>
          <w:color w:val="000000" w:themeColor="text1"/>
          <w:szCs w:val="22"/>
        </w:rPr>
      </w:pPr>
    </w:p>
    <w:p w14:paraId="3ECB43EE" w14:textId="77777777"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Chapter 5 – IMO Net Zero Framework </w:t>
      </w:r>
    </w:p>
    <w:p w14:paraId="16F9C5A6" w14:textId="77777777" w:rsidR="008C0AB8" w:rsidRPr="00E3618B" w:rsidRDefault="008C0AB8" w:rsidP="008C0AB8">
      <w:pPr>
        <w:rPr>
          <w:rFonts w:cs="Arial"/>
          <w:b/>
          <w:bCs/>
          <w:color w:val="000000" w:themeColor="text1"/>
          <w:szCs w:val="22"/>
        </w:rPr>
      </w:pPr>
    </w:p>
    <w:p w14:paraId="07203006" w14:textId="77777777" w:rsidR="008C0AB8" w:rsidRPr="00746F98" w:rsidRDefault="008C0AB8" w:rsidP="008C0AB8">
      <w:pPr>
        <w:rPr>
          <w:rFonts w:cs="Arial"/>
          <w:b/>
          <w:bCs/>
          <w:i/>
          <w:iCs/>
          <w:szCs w:val="22"/>
        </w:rPr>
      </w:pPr>
      <w:r w:rsidRPr="00746F98">
        <w:rPr>
          <w:rFonts w:cs="Arial"/>
          <w:b/>
          <w:bCs/>
          <w:i/>
          <w:iCs/>
          <w:szCs w:val="22"/>
        </w:rPr>
        <w:t>[.9.1</w:t>
      </w:r>
      <w:r w:rsidRPr="00746F98">
        <w:rPr>
          <w:rFonts w:cs="Arial"/>
          <w:b/>
          <w:bCs/>
          <w:i/>
          <w:iCs/>
          <w:szCs w:val="22"/>
        </w:rPr>
        <w:tab/>
        <w:t>Application (regulation X)]</w:t>
      </w:r>
    </w:p>
    <w:p w14:paraId="78DF0AED" w14:textId="77777777" w:rsidR="008C0AB8" w:rsidRDefault="008C0AB8" w:rsidP="008C0AB8">
      <w:pPr>
        <w:rPr>
          <w:rFonts w:cs="Arial"/>
          <w:b/>
          <w:bCs/>
          <w:color w:val="000000" w:themeColor="text1"/>
          <w:szCs w:val="22"/>
        </w:rPr>
      </w:pPr>
    </w:p>
    <w:p w14:paraId="361931FF" w14:textId="4043FDF6" w:rsidR="008C0AB8" w:rsidRPr="00E3618B" w:rsidRDefault="008C0AB8" w:rsidP="008C0AB8">
      <w:pPr>
        <w:rPr>
          <w:rFonts w:cs="Arial"/>
          <w:i/>
          <w:iCs/>
          <w:color w:val="000000" w:themeColor="text1"/>
          <w:szCs w:val="22"/>
        </w:rPr>
      </w:pPr>
      <w:r w:rsidRPr="00E3618B">
        <w:rPr>
          <w:rFonts w:cs="Arial"/>
          <w:b/>
          <w:bCs/>
          <w:color w:val="000000" w:themeColor="text1"/>
          <w:szCs w:val="22"/>
        </w:rPr>
        <w:t>Regulation 32</w:t>
      </w:r>
    </w:p>
    <w:p w14:paraId="7F9FDF32"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 xml:space="preserve">Application </w:t>
      </w:r>
    </w:p>
    <w:p w14:paraId="33428005" w14:textId="77777777" w:rsidR="008C0AB8" w:rsidRPr="00E3618B" w:rsidRDefault="008C0AB8" w:rsidP="008C0AB8">
      <w:pPr>
        <w:rPr>
          <w:rFonts w:cs="Arial"/>
          <w:color w:val="000000" w:themeColor="text1"/>
          <w:szCs w:val="22"/>
        </w:rPr>
      </w:pPr>
    </w:p>
    <w:p w14:paraId="1936073A"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This chapter shall apply to all ships of [400][5,000]</w:t>
      </w:r>
      <w:r w:rsidRPr="00E3618B">
        <w:rPr>
          <w:rStyle w:val="FootnoteReference"/>
          <w:rFonts w:cs="Arial"/>
          <w:color w:val="000000" w:themeColor="text1"/>
          <w:szCs w:val="22"/>
        </w:rPr>
        <w:footnoteReference w:id="3"/>
      </w:r>
      <w:r w:rsidRPr="00E3618B">
        <w:rPr>
          <w:rFonts w:cs="Arial"/>
          <w:color w:val="000000" w:themeColor="text1"/>
          <w:szCs w:val="22"/>
        </w:rPr>
        <w:t xml:space="preserve"> gross tonnage and above.</w:t>
      </w:r>
    </w:p>
    <w:p w14:paraId="48BFF384" w14:textId="77777777" w:rsidR="008C0AB8" w:rsidRPr="00E3618B" w:rsidRDefault="008C0AB8" w:rsidP="008C0AB8">
      <w:pPr>
        <w:rPr>
          <w:rFonts w:cs="Arial"/>
          <w:color w:val="000000" w:themeColor="text1"/>
          <w:szCs w:val="22"/>
        </w:rPr>
      </w:pPr>
    </w:p>
    <w:p w14:paraId="06EDF8AE" w14:textId="77777777" w:rsidR="008C0AB8" w:rsidRPr="00E3618B" w:rsidRDefault="008C0AB8" w:rsidP="008C0AB8">
      <w:pPr>
        <w:rPr>
          <w:rFonts w:cs="Arial"/>
          <w:color w:val="000000" w:themeColor="text1"/>
          <w:szCs w:val="22"/>
        </w:rPr>
      </w:pPr>
      <w:r w:rsidRPr="00E3618B">
        <w:rPr>
          <w:rFonts w:cs="Arial"/>
          <w:color w:val="000000" w:themeColor="text1"/>
          <w:szCs w:val="22"/>
        </w:rPr>
        <w:t>2</w:t>
      </w:r>
      <w:r w:rsidRPr="00E3618B">
        <w:rPr>
          <w:rFonts w:cs="Arial"/>
          <w:color w:val="000000" w:themeColor="text1"/>
          <w:szCs w:val="22"/>
        </w:rPr>
        <w:tab/>
        <w:t>The provisions of this chapter shall not apply to:</w:t>
      </w:r>
    </w:p>
    <w:p w14:paraId="7269EA00" w14:textId="77777777" w:rsidR="008C0AB8" w:rsidRPr="00E3618B" w:rsidRDefault="008C0AB8" w:rsidP="008C0AB8">
      <w:pPr>
        <w:rPr>
          <w:rFonts w:cs="Arial"/>
          <w:color w:val="000000" w:themeColor="text1"/>
          <w:szCs w:val="22"/>
        </w:rPr>
      </w:pPr>
    </w:p>
    <w:p w14:paraId="6442E414" w14:textId="77777777" w:rsidR="008C0AB8" w:rsidRPr="00E3618B" w:rsidRDefault="008C0AB8" w:rsidP="008C0AB8">
      <w:pPr>
        <w:ind w:left="1418" w:hanging="567"/>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 xml:space="preserve">ships solely engaged in voyages within waters subject to the sovereignty or jurisdiction of the State the flag of which the ship is entitled to fly; and </w:t>
      </w:r>
    </w:p>
    <w:p w14:paraId="7534CAA0" w14:textId="77777777" w:rsidR="008C0AB8" w:rsidRPr="00E3618B" w:rsidRDefault="008C0AB8" w:rsidP="008C0AB8">
      <w:pPr>
        <w:ind w:left="1418" w:hanging="567"/>
        <w:rPr>
          <w:rFonts w:cs="Arial"/>
          <w:color w:val="000000" w:themeColor="text1"/>
          <w:szCs w:val="22"/>
        </w:rPr>
      </w:pPr>
    </w:p>
    <w:p w14:paraId="054E4388" w14:textId="77777777" w:rsidR="008C0AB8" w:rsidRPr="00E3618B" w:rsidRDefault="008C0AB8" w:rsidP="008C0AB8">
      <w:pPr>
        <w:ind w:left="1418" w:hanging="567"/>
        <w:rPr>
          <w:rFonts w:cs="Arial"/>
          <w:color w:val="000000" w:themeColor="text1"/>
          <w:szCs w:val="22"/>
        </w:rPr>
      </w:pPr>
      <w:r w:rsidRPr="00E3618B">
        <w:rPr>
          <w:rFonts w:cs="Arial"/>
          <w:color w:val="000000" w:themeColor="text1"/>
          <w:szCs w:val="22"/>
        </w:rPr>
        <w:t>.2</w:t>
      </w:r>
      <w:r w:rsidRPr="00E3618B">
        <w:rPr>
          <w:rFonts w:cs="Arial"/>
          <w:color w:val="000000" w:themeColor="text1"/>
          <w:szCs w:val="22"/>
        </w:rPr>
        <w:tab/>
        <w:t>ships not propelled by mechanical means, and platforms including FPSOs and FSUs and drilling rigs, regardless of their propulsion.</w:t>
      </w:r>
    </w:p>
    <w:p w14:paraId="26815EFF" w14:textId="77777777" w:rsidR="008C0AB8" w:rsidRPr="00E3618B" w:rsidRDefault="008C0AB8" w:rsidP="008C0AB8">
      <w:pPr>
        <w:rPr>
          <w:rFonts w:cs="Arial"/>
          <w:b/>
          <w:bCs/>
          <w:color w:val="000000" w:themeColor="text1"/>
          <w:szCs w:val="22"/>
        </w:rPr>
      </w:pPr>
    </w:p>
    <w:p w14:paraId="4C262504" w14:textId="77777777" w:rsidR="008C0AB8" w:rsidRPr="00776AB4" w:rsidRDefault="008C0AB8" w:rsidP="008C0AB8">
      <w:pPr>
        <w:rPr>
          <w:rFonts w:cs="Arial"/>
          <w:b/>
          <w:bCs/>
          <w:i/>
          <w:iCs/>
          <w:szCs w:val="22"/>
        </w:rPr>
      </w:pPr>
      <w:r w:rsidRPr="00776AB4">
        <w:rPr>
          <w:rFonts w:cs="Arial"/>
          <w:b/>
          <w:bCs/>
          <w:i/>
          <w:iCs/>
          <w:szCs w:val="22"/>
        </w:rPr>
        <w:t>[.9.2</w:t>
      </w:r>
      <w:r w:rsidRPr="00776AB4">
        <w:rPr>
          <w:rFonts w:cs="Arial"/>
          <w:b/>
          <w:bCs/>
          <w:i/>
          <w:iCs/>
          <w:szCs w:val="22"/>
        </w:rPr>
        <w:tab/>
        <w:t>Goal (regulation X)]</w:t>
      </w:r>
    </w:p>
    <w:p w14:paraId="6E66F61F" w14:textId="77777777" w:rsidR="008C0AB8" w:rsidRDefault="008C0AB8" w:rsidP="008C0AB8">
      <w:pPr>
        <w:rPr>
          <w:rFonts w:cs="Arial"/>
          <w:b/>
          <w:bCs/>
          <w:color w:val="000000" w:themeColor="text1"/>
          <w:szCs w:val="22"/>
        </w:rPr>
      </w:pPr>
    </w:p>
    <w:p w14:paraId="4B949CBD" w14:textId="6ED02EC6" w:rsidR="008C0AB8" w:rsidRDefault="008C0AB8" w:rsidP="008C0AB8">
      <w:pPr>
        <w:rPr>
          <w:rFonts w:cs="Arial"/>
          <w:i/>
          <w:i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33</w:t>
      </w:r>
    </w:p>
    <w:p w14:paraId="1F4DD967"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Goal</w:t>
      </w:r>
    </w:p>
    <w:p w14:paraId="0899F6A0" w14:textId="77777777" w:rsidR="008C0AB8" w:rsidRPr="00E3618B" w:rsidRDefault="008C0AB8" w:rsidP="008C0AB8">
      <w:pPr>
        <w:rPr>
          <w:rFonts w:cs="Arial"/>
          <w:b/>
          <w:bCs/>
          <w:color w:val="000000" w:themeColor="text1"/>
          <w:szCs w:val="22"/>
        </w:rPr>
      </w:pPr>
    </w:p>
    <w:p w14:paraId="15970011" w14:textId="77777777" w:rsidR="008C0AB8" w:rsidRPr="008E34A3" w:rsidRDefault="008C0AB8" w:rsidP="008C0AB8">
      <w:pPr>
        <w:rPr>
          <w:rFonts w:eastAsia="Calibri"/>
          <w:color w:val="000000" w:themeColor="text1"/>
        </w:rPr>
      </w:pPr>
      <w:r w:rsidRPr="00E3618B">
        <w:rPr>
          <w:rFonts w:eastAsia="Calibri"/>
          <w:color w:val="000000" w:themeColor="text1"/>
        </w:rPr>
        <w:t>The goal of this Chapter is to reduce the GHG emissions of international shipping, working towards the levels of ambition set out in the IMO Strategy on reduction of GHG emissions from ships.</w:t>
      </w:r>
    </w:p>
    <w:p w14:paraId="4959DF83" w14:textId="77777777" w:rsidR="00BC5578" w:rsidRDefault="00BC5578" w:rsidP="008C0AB8">
      <w:pPr>
        <w:rPr>
          <w:rFonts w:cs="Arial"/>
          <w:b/>
          <w:bCs/>
          <w:i/>
          <w:iCs/>
          <w:szCs w:val="22"/>
        </w:rPr>
      </w:pPr>
    </w:p>
    <w:p w14:paraId="2087A7A1" w14:textId="444FC3D8" w:rsidR="008C0AB8" w:rsidRPr="00377979" w:rsidRDefault="008C0AB8" w:rsidP="008C0AB8">
      <w:pPr>
        <w:rPr>
          <w:rFonts w:cs="Arial"/>
          <w:b/>
          <w:bCs/>
          <w:i/>
          <w:iCs/>
          <w:szCs w:val="22"/>
        </w:rPr>
      </w:pPr>
      <w:r w:rsidRPr="00377979">
        <w:rPr>
          <w:rFonts w:cs="Arial"/>
          <w:b/>
          <w:bCs/>
          <w:i/>
          <w:iCs/>
          <w:szCs w:val="22"/>
        </w:rPr>
        <w:t>[.9.3</w:t>
      </w:r>
      <w:r w:rsidRPr="00377979">
        <w:rPr>
          <w:rFonts w:cs="Arial"/>
          <w:b/>
          <w:bCs/>
          <w:i/>
          <w:iCs/>
          <w:szCs w:val="22"/>
        </w:rPr>
        <w:tab/>
        <w:t>Functional requirements (regulation X)]</w:t>
      </w:r>
    </w:p>
    <w:p w14:paraId="0F368663" w14:textId="77777777" w:rsidR="008C0AB8" w:rsidRDefault="008C0AB8" w:rsidP="008C0AB8">
      <w:pPr>
        <w:rPr>
          <w:rFonts w:cs="Arial"/>
          <w:b/>
          <w:bCs/>
          <w:color w:val="000000" w:themeColor="text1"/>
          <w:szCs w:val="22"/>
        </w:rPr>
      </w:pPr>
    </w:p>
    <w:p w14:paraId="35DE8AFC" w14:textId="2ECCE19A" w:rsidR="008C0AB8" w:rsidRDefault="008C0AB8" w:rsidP="008C0AB8">
      <w:pPr>
        <w:rPr>
          <w:rFonts w:cs="Arial"/>
          <w:i/>
          <w:i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34</w:t>
      </w:r>
    </w:p>
    <w:p w14:paraId="3586B280"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Functional requirements</w:t>
      </w:r>
    </w:p>
    <w:p w14:paraId="0B7AA0E2" w14:textId="77777777" w:rsidR="008C0AB8" w:rsidRPr="00E3618B" w:rsidRDefault="008C0AB8" w:rsidP="008C0AB8">
      <w:pPr>
        <w:rPr>
          <w:rFonts w:cs="Arial"/>
          <w:b/>
          <w:bCs/>
          <w:color w:val="000000" w:themeColor="text1"/>
          <w:szCs w:val="22"/>
        </w:rPr>
      </w:pPr>
    </w:p>
    <w:p w14:paraId="52A76DA8" w14:textId="6B247892" w:rsidR="008C0AB8" w:rsidRPr="00E3618B" w:rsidRDefault="008C0AB8" w:rsidP="008C0AB8">
      <w:pPr>
        <w:rPr>
          <w:rFonts w:cs="Arial"/>
          <w:color w:val="000000" w:themeColor="text1"/>
          <w:szCs w:val="22"/>
        </w:rPr>
      </w:pPr>
      <w:r w:rsidRPr="00E3618B">
        <w:rPr>
          <w:rFonts w:cs="Arial"/>
          <w:color w:val="000000" w:themeColor="text1"/>
          <w:szCs w:val="22"/>
        </w:rPr>
        <w:t xml:space="preserve">In order to achieve the goal set out in regulation </w:t>
      </w:r>
      <w:r>
        <w:rPr>
          <w:rFonts w:cs="Arial"/>
          <w:color w:val="000000" w:themeColor="text1"/>
          <w:szCs w:val="22"/>
        </w:rPr>
        <w:t>33</w:t>
      </w:r>
      <w:r w:rsidRPr="00E3618B">
        <w:rPr>
          <w:rFonts w:cs="Arial"/>
          <w:color w:val="000000" w:themeColor="text1"/>
          <w:szCs w:val="22"/>
        </w:rPr>
        <w:t xml:space="preserve"> of this Annex, a ship to which this chapter applies shall:</w:t>
      </w:r>
    </w:p>
    <w:p w14:paraId="7C26B00D" w14:textId="4CB270B4" w:rsidR="008C0AB8" w:rsidRPr="00E3618B" w:rsidRDefault="008C0AB8" w:rsidP="008C0AB8">
      <w:pPr>
        <w:ind w:left="1700" w:hanging="1700"/>
        <w:rPr>
          <w:rFonts w:cs="Arial"/>
          <w:color w:val="000000" w:themeColor="text1"/>
          <w:szCs w:val="22"/>
        </w:rPr>
      </w:pPr>
      <w:r w:rsidRPr="00E3618B">
        <w:rPr>
          <w:rFonts w:cs="Arial"/>
          <w:color w:val="000000" w:themeColor="text1"/>
          <w:szCs w:val="22"/>
        </w:rPr>
        <w:lastRenderedPageBreak/>
        <w:tab/>
        <w:t xml:space="preserve">.1 </w:t>
      </w:r>
      <w:r w:rsidRPr="00E3618B">
        <w:rPr>
          <w:rFonts w:cs="Arial"/>
          <w:color w:val="000000" w:themeColor="text1"/>
          <w:szCs w:val="22"/>
        </w:rPr>
        <w:tab/>
        <w:t>reduce its greenhouse gas fuel intensity (GFI)</w:t>
      </w:r>
      <w:r>
        <w:rPr>
          <w:rFonts w:cs="Arial"/>
          <w:color w:val="000000" w:themeColor="text1"/>
          <w:szCs w:val="22"/>
        </w:rPr>
        <w:t xml:space="preserve">, calculated on a Well to Wake basis, </w:t>
      </w:r>
      <w:r w:rsidRPr="00E3618B">
        <w:rPr>
          <w:rFonts w:cs="Arial"/>
          <w:color w:val="000000" w:themeColor="text1"/>
          <w:szCs w:val="22"/>
        </w:rPr>
        <w:t>in accordance with regulation 3</w:t>
      </w:r>
      <w:r>
        <w:rPr>
          <w:rFonts w:cs="Arial"/>
          <w:color w:val="000000" w:themeColor="text1"/>
          <w:szCs w:val="22"/>
        </w:rPr>
        <w:t>5</w:t>
      </w:r>
      <w:r w:rsidRPr="00E3618B">
        <w:rPr>
          <w:rFonts w:cs="Arial"/>
          <w:color w:val="000000" w:themeColor="text1"/>
          <w:szCs w:val="22"/>
        </w:rPr>
        <w:t xml:space="preserve"> of this Annex; and</w:t>
      </w:r>
    </w:p>
    <w:p w14:paraId="733CE3BF" w14:textId="77777777" w:rsidR="008C0AB8" w:rsidRPr="00E3618B" w:rsidRDefault="008C0AB8" w:rsidP="008C0AB8">
      <w:pPr>
        <w:rPr>
          <w:rFonts w:cs="Arial"/>
          <w:color w:val="000000" w:themeColor="text1"/>
          <w:szCs w:val="22"/>
        </w:rPr>
      </w:pPr>
    </w:p>
    <w:p w14:paraId="710AFE91" w14:textId="1A2074CF" w:rsidR="008C0AB8" w:rsidRPr="00E3618B" w:rsidRDefault="008C0AB8" w:rsidP="00C345D6">
      <w:pPr>
        <w:ind w:left="1700" w:hanging="1700"/>
        <w:rPr>
          <w:rFonts w:cs="Arial"/>
          <w:b/>
          <w:bCs/>
          <w:color w:val="000000" w:themeColor="text1"/>
          <w:szCs w:val="22"/>
        </w:rPr>
      </w:pPr>
      <w:r w:rsidRPr="00E3618B">
        <w:rPr>
          <w:rFonts w:cs="Arial"/>
          <w:color w:val="000000" w:themeColor="text1"/>
          <w:szCs w:val="22"/>
        </w:rPr>
        <w:tab/>
        <w:t xml:space="preserve">.2 </w:t>
      </w:r>
      <w:r w:rsidRPr="00E3618B">
        <w:rPr>
          <w:rFonts w:cs="Arial"/>
          <w:color w:val="000000" w:themeColor="text1"/>
          <w:szCs w:val="22"/>
        </w:rPr>
        <w:tab/>
        <w:t xml:space="preserve">pay GHG fees and receive feebates in accordance with regulations </w:t>
      </w:r>
      <w:r>
        <w:rPr>
          <w:rFonts w:cs="Arial"/>
          <w:color w:val="000000" w:themeColor="text1"/>
          <w:szCs w:val="22"/>
        </w:rPr>
        <w:t>40</w:t>
      </w:r>
      <w:r w:rsidRPr="00E3618B">
        <w:rPr>
          <w:rFonts w:cs="Arial"/>
          <w:color w:val="000000" w:themeColor="text1"/>
          <w:szCs w:val="22"/>
        </w:rPr>
        <w:t xml:space="preserve"> </w:t>
      </w:r>
      <w:r w:rsidRPr="00E3618B">
        <w:rPr>
          <w:rFonts w:cs="Arial"/>
          <w:color w:val="000000" w:themeColor="text1"/>
          <w:szCs w:val="22"/>
        </w:rPr>
        <w:br/>
        <w:t xml:space="preserve">and </w:t>
      </w:r>
      <w:r>
        <w:rPr>
          <w:rFonts w:cs="Arial"/>
          <w:color w:val="000000" w:themeColor="text1"/>
          <w:szCs w:val="22"/>
        </w:rPr>
        <w:t>41</w:t>
      </w:r>
      <w:r w:rsidRPr="00E3618B">
        <w:rPr>
          <w:rFonts w:cs="Arial"/>
          <w:color w:val="000000" w:themeColor="text1"/>
          <w:szCs w:val="22"/>
        </w:rPr>
        <w:t xml:space="preserve"> of this Annex.</w:t>
      </w:r>
    </w:p>
    <w:p w14:paraId="771281FC" w14:textId="77777777" w:rsidR="00B9322C" w:rsidRDefault="00B9322C" w:rsidP="008C0AB8">
      <w:pPr>
        <w:rPr>
          <w:rFonts w:cs="Arial"/>
          <w:b/>
          <w:bCs/>
          <w:i/>
          <w:iCs/>
          <w:szCs w:val="22"/>
        </w:rPr>
      </w:pPr>
    </w:p>
    <w:p w14:paraId="4DD4F81D" w14:textId="548A1D46" w:rsidR="008C0AB8" w:rsidRPr="00724B5B" w:rsidRDefault="008C0AB8" w:rsidP="008C0AB8">
      <w:pPr>
        <w:rPr>
          <w:rFonts w:cs="Arial"/>
          <w:b/>
          <w:bCs/>
          <w:i/>
          <w:iCs/>
          <w:szCs w:val="22"/>
        </w:rPr>
      </w:pPr>
      <w:r w:rsidRPr="00724B5B">
        <w:rPr>
          <w:rFonts w:cs="Arial"/>
          <w:b/>
          <w:bCs/>
          <w:i/>
          <w:iCs/>
          <w:szCs w:val="22"/>
        </w:rPr>
        <w:t>[.9.5</w:t>
      </w:r>
      <w:r w:rsidRPr="00724B5B">
        <w:rPr>
          <w:rFonts w:cs="Arial"/>
          <w:b/>
          <w:bCs/>
          <w:i/>
          <w:iCs/>
          <w:szCs w:val="22"/>
        </w:rPr>
        <w:tab/>
        <w:t>Target/Required GFI (regulation X)]</w:t>
      </w:r>
    </w:p>
    <w:p w14:paraId="7E3F4F9E" w14:textId="77777777" w:rsidR="008C0AB8" w:rsidRDefault="008C0AB8" w:rsidP="008C0AB8">
      <w:pPr>
        <w:rPr>
          <w:rFonts w:cs="Arial"/>
          <w:b/>
          <w:bCs/>
          <w:color w:val="000000" w:themeColor="text1"/>
          <w:szCs w:val="22"/>
        </w:rPr>
      </w:pPr>
    </w:p>
    <w:p w14:paraId="344FC699" w14:textId="1A399CC0" w:rsidR="008C0AB8" w:rsidRPr="00E3618B" w:rsidRDefault="008C0AB8" w:rsidP="008C0AB8">
      <w:pPr>
        <w:rPr>
          <w:i/>
          <w:iCs/>
          <w:color w:val="000000" w:themeColor="text1"/>
        </w:rPr>
      </w:pPr>
      <w:r w:rsidRPr="00E3618B">
        <w:rPr>
          <w:rFonts w:cs="Arial"/>
          <w:b/>
          <w:bCs/>
          <w:color w:val="000000" w:themeColor="text1"/>
          <w:szCs w:val="22"/>
        </w:rPr>
        <w:t xml:space="preserve">Regulation </w:t>
      </w:r>
      <w:r>
        <w:rPr>
          <w:rFonts w:cs="Arial"/>
          <w:b/>
          <w:bCs/>
          <w:color w:val="000000" w:themeColor="text1"/>
          <w:szCs w:val="22"/>
        </w:rPr>
        <w:t>35</w:t>
      </w:r>
    </w:p>
    <w:p w14:paraId="73829DAA" w14:textId="77777777" w:rsidR="008C0AB8" w:rsidRDefault="008C0AB8" w:rsidP="008C0AB8">
      <w:pPr>
        <w:rPr>
          <w:i/>
          <w:iCs/>
          <w:color w:val="000000" w:themeColor="text1"/>
        </w:rPr>
      </w:pPr>
      <w:r w:rsidRPr="00E3618B">
        <w:rPr>
          <w:i/>
          <w:iCs/>
          <w:color w:val="000000" w:themeColor="text1"/>
        </w:rPr>
        <w:t>Goal-based marine fuel standard for GHG intensity</w:t>
      </w:r>
    </w:p>
    <w:p w14:paraId="15536971" w14:textId="77777777" w:rsidR="00B9322C" w:rsidRPr="00E3618B" w:rsidRDefault="00B9322C" w:rsidP="008C0AB8">
      <w:pPr>
        <w:rPr>
          <w:i/>
          <w:iCs/>
          <w:color w:val="000000" w:themeColor="text1"/>
        </w:rPr>
      </w:pPr>
    </w:p>
    <w:p w14:paraId="71C89B67" w14:textId="77777777" w:rsidR="008C0AB8" w:rsidRPr="00E3618B" w:rsidRDefault="008C0AB8" w:rsidP="008C0AB8">
      <w:pPr>
        <w:tabs>
          <w:tab w:val="clear" w:pos="851"/>
        </w:tabs>
        <w:rPr>
          <w:color w:val="000000" w:themeColor="text1"/>
        </w:rPr>
      </w:pPr>
      <w:r w:rsidRPr="00E3618B">
        <w:rPr>
          <w:color w:val="000000" w:themeColor="text1"/>
        </w:rPr>
        <w:t>1</w:t>
      </w:r>
      <w:r w:rsidRPr="00E3618B">
        <w:rPr>
          <w:color w:val="000000" w:themeColor="text1"/>
        </w:rPr>
        <w:tab/>
        <w:t xml:space="preserve">From 1 January 2028, </w:t>
      </w:r>
      <w:r w:rsidRPr="00E3618B">
        <w:rPr>
          <w:rFonts w:cs="Arial"/>
          <w:color w:val="000000" w:themeColor="text1"/>
          <w:szCs w:val="22"/>
        </w:rPr>
        <w:t>t</w:t>
      </w:r>
      <w:r w:rsidRPr="00E3618B">
        <w:rPr>
          <w:color w:val="000000" w:themeColor="text1"/>
        </w:rPr>
        <w:t>he GHG Fuel Intensity (Required GFI) of energy used on board</w:t>
      </w:r>
      <w:r w:rsidRPr="00E3618B">
        <w:rPr>
          <w:rFonts w:cs="Arial"/>
          <w:color w:val="000000" w:themeColor="text1"/>
          <w:szCs w:val="22"/>
        </w:rPr>
        <w:t xml:space="preserve"> the ship shall not exceed [98%] of the GFI reference value</w:t>
      </w:r>
      <w:r w:rsidRPr="00E3618B">
        <w:rPr>
          <w:rStyle w:val="FootnoteReference"/>
          <w:color w:val="000000" w:themeColor="text1"/>
        </w:rPr>
        <w:footnoteReference w:id="4"/>
      </w:r>
      <w:r w:rsidRPr="00E3618B">
        <w:rPr>
          <w:color w:val="000000" w:themeColor="text1"/>
        </w:rPr>
        <w:t xml:space="preserve"> </w:t>
      </w:r>
      <w:r w:rsidRPr="00E3618B">
        <w:rPr>
          <w:rFonts w:cs="Arial"/>
          <w:color w:val="000000" w:themeColor="text1"/>
          <w:szCs w:val="22"/>
        </w:rPr>
        <w:t>(gCO</w:t>
      </w:r>
      <w:r w:rsidRPr="00E3618B">
        <w:rPr>
          <w:rFonts w:cs="Arial"/>
          <w:color w:val="000000" w:themeColor="text1"/>
          <w:szCs w:val="22"/>
          <w:vertAlign w:val="subscript"/>
        </w:rPr>
        <w:t>2e</w:t>
      </w:r>
      <w:r w:rsidRPr="00E3618B">
        <w:rPr>
          <w:rFonts w:cs="Arial"/>
          <w:color w:val="000000" w:themeColor="text1"/>
          <w:szCs w:val="22"/>
        </w:rPr>
        <w:t>/MJ)</w:t>
      </w:r>
      <w:r w:rsidRPr="00E3618B">
        <w:rPr>
          <w:rStyle w:val="FootnoteReference"/>
          <w:rFonts w:cs="Arial"/>
          <w:color w:val="000000" w:themeColor="text1"/>
          <w:szCs w:val="22"/>
        </w:rPr>
        <w:footnoteReference w:id="5"/>
      </w:r>
      <w:r w:rsidRPr="00E3618B">
        <w:rPr>
          <w:rFonts w:cs="Arial"/>
          <w:color w:val="000000" w:themeColor="text1"/>
          <w:szCs w:val="22"/>
          <w:vertAlign w:val="superscript"/>
        </w:rPr>
        <w:t>,</w:t>
      </w:r>
      <w:r w:rsidRPr="00E3618B">
        <w:rPr>
          <w:rStyle w:val="FootnoteReference"/>
          <w:color w:val="000000" w:themeColor="text1"/>
        </w:rPr>
        <w:footnoteReference w:id="6"/>
      </w:r>
      <w:r w:rsidRPr="00E3618B">
        <w:rPr>
          <w:color w:val="000000" w:themeColor="text1"/>
          <w:vertAlign w:val="superscript"/>
        </w:rPr>
        <w:t>,</w:t>
      </w:r>
      <w:r w:rsidRPr="00E3618B">
        <w:rPr>
          <w:rStyle w:val="FootnoteReference"/>
          <w:color w:val="000000" w:themeColor="text1"/>
        </w:rPr>
        <w:footnoteReference w:id="7"/>
      </w:r>
      <w:r w:rsidRPr="00E3618B">
        <w:rPr>
          <w:color w:val="000000" w:themeColor="text1"/>
        </w:rPr>
        <w:t>.</w:t>
      </w:r>
    </w:p>
    <w:p w14:paraId="37FEB661" w14:textId="77777777" w:rsidR="008C0AB8" w:rsidRPr="00E3618B" w:rsidRDefault="008C0AB8" w:rsidP="008C0AB8">
      <w:pPr>
        <w:tabs>
          <w:tab w:val="clear" w:pos="851"/>
        </w:tabs>
        <w:rPr>
          <w:color w:val="000000" w:themeColor="text1"/>
        </w:rPr>
      </w:pPr>
    </w:p>
    <w:p w14:paraId="41A779BC" w14:textId="77777777" w:rsidR="008C0AB8" w:rsidRPr="00E3618B" w:rsidRDefault="008C0AB8" w:rsidP="008C0AB8">
      <w:pPr>
        <w:ind w:left="848" w:hanging="848"/>
        <w:rPr>
          <w:color w:val="000000" w:themeColor="text1"/>
        </w:rPr>
      </w:pPr>
      <w:r w:rsidRPr="00E3618B">
        <w:rPr>
          <w:color w:val="000000" w:themeColor="text1"/>
        </w:rPr>
        <w:t>2</w:t>
      </w:r>
      <w:r w:rsidRPr="00E3618B">
        <w:rPr>
          <w:color w:val="000000" w:themeColor="text1"/>
        </w:rPr>
        <w:tab/>
        <w:t xml:space="preserve">From 1 January 2030, </w:t>
      </w:r>
      <w:r w:rsidRPr="00E3618B">
        <w:rPr>
          <w:rFonts w:cs="Arial"/>
          <w:color w:val="000000" w:themeColor="text1"/>
          <w:szCs w:val="22"/>
        </w:rPr>
        <w:t>t</w:t>
      </w:r>
      <w:r w:rsidRPr="00E3618B">
        <w:rPr>
          <w:color w:val="000000" w:themeColor="text1"/>
        </w:rPr>
        <w:t>he GHG Fuel Intensity (Required GFI) of energy used on</w:t>
      </w:r>
    </w:p>
    <w:p w14:paraId="50F5FA9C" w14:textId="77777777" w:rsidR="008C0AB8" w:rsidRPr="00E3618B" w:rsidRDefault="008C0AB8" w:rsidP="008C0AB8">
      <w:pPr>
        <w:ind w:left="848" w:hanging="848"/>
        <w:rPr>
          <w:color w:val="000000" w:themeColor="text1"/>
        </w:rPr>
      </w:pPr>
      <w:r w:rsidRPr="00E3618B">
        <w:rPr>
          <w:color w:val="000000" w:themeColor="text1"/>
        </w:rPr>
        <w:t>board</w:t>
      </w:r>
      <w:r w:rsidRPr="00E3618B">
        <w:rPr>
          <w:rFonts w:cs="Arial"/>
          <w:color w:val="000000" w:themeColor="text1"/>
          <w:szCs w:val="22"/>
        </w:rPr>
        <w:t xml:space="preserve"> the ship shall not exceed [95%] of the GFI reference value (gCO</w:t>
      </w:r>
      <w:r w:rsidRPr="00E3618B">
        <w:rPr>
          <w:rFonts w:cs="Arial"/>
          <w:color w:val="000000" w:themeColor="text1"/>
          <w:szCs w:val="22"/>
          <w:vertAlign w:val="subscript"/>
        </w:rPr>
        <w:t>2e</w:t>
      </w:r>
      <w:r w:rsidRPr="00E3618B">
        <w:rPr>
          <w:rFonts w:cs="Arial"/>
          <w:color w:val="000000" w:themeColor="text1"/>
          <w:szCs w:val="22"/>
        </w:rPr>
        <w:t>/MJ)</w:t>
      </w:r>
      <w:r w:rsidRPr="00E3618B">
        <w:rPr>
          <w:color w:val="000000" w:themeColor="text1"/>
        </w:rPr>
        <w:t>.</w:t>
      </w:r>
      <w:r w:rsidRPr="00E3618B">
        <w:rPr>
          <w:b/>
          <w:bCs/>
          <w:color w:val="000000" w:themeColor="text1"/>
        </w:rPr>
        <w:t xml:space="preserve">   </w:t>
      </w:r>
    </w:p>
    <w:p w14:paraId="079C204C" w14:textId="77777777" w:rsidR="008C0AB8" w:rsidRPr="00E3618B" w:rsidRDefault="008C0AB8" w:rsidP="008C0AB8">
      <w:pPr>
        <w:tabs>
          <w:tab w:val="clear" w:pos="851"/>
        </w:tabs>
        <w:rPr>
          <w:color w:val="000000" w:themeColor="text1"/>
        </w:rPr>
      </w:pPr>
    </w:p>
    <w:p w14:paraId="0B8FAD20" w14:textId="77777777" w:rsidR="008C0AB8" w:rsidRPr="00E3618B" w:rsidRDefault="008C0AB8" w:rsidP="008C0AB8">
      <w:pPr>
        <w:rPr>
          <w:color w:val="000000" w:themeColor="text1"/>
        </w:rPr>
      </w:pPr>
      <w:r w:rsidRPr="00E3618B">
        <w:rPr>
          <w:color w:val="000000" w:themeColor="text1"/>
        </w:rPr>
        <w:t>3</w:t>
      </w:r>
      <w:r w:rsidRPr="00E3618B">
        <w:rPr>
          <w:color w:val="000000" w:themeColor="text1"/>
        </w:rPr>
        <w:tab/>
        <w:t xml:space="preserve">From 1 January 2040, </w:t>
      </w:r>
      <w:r w:rsidRPr="00E3618B">
        <w:rPr>
          <w:rFonts w:cs="Arial"/>
          <w:color w:val="000000" w:themeColor="text1"/>
          <w:szCs w:val="22"/>
        </w:rPr>
        <w:t>t</w:t>
      </w:r>
      <w:r w:rsidRPr="00E3618B">
        <w:rPr>
          <w:color w:val="000000" w:themeColor="text1"/>
        </w:rPr>
        <w:t>he GHG Fuel Intensity (Required GFI) of energy used on</w:t>
      </w:r>
    </w:p>
    <w:p w14:paraId="21F149DE" w14:textId="77777777" w:rsidR="008C0AB8" w:rsidRPr="00E3618B" w:rsidRDefault="008C0AB8" w:rsidP="008C0AB8">
      <w:pPr>
        <w:ind w:left="848" w:hanging="848"/>
        <w:rPr>
          <w:color w:val="000000" w:themeColor="text1"/>
        </w:rPr>
      </w:pPr>
      <w:r w:rsidRPr="00E3618B">
        <w:rPr>
          <w:color w:val="000000" w:themeColor="text1"/>
        </w:rPr>
        <w:t>board</w:t>
      </w:r>
      <w:r w:rsidRPr="00E3618B">
        <w:rPr>
          <w:rFonts w:cs="Arial"/>
          <w:color w:val="000000" w:themeColor="text1"/>
          <w:szCs w:val="22"/>
        </w:rPr>
        <w:t xml:space="preserve"> the ship shall not exceed [70%] of the GFI reference value</w:t>
      </w:r>
      <w:r w:rsidRPr="00E3618B">
        <w:rPr>
          <w:color w:val="000000" w:themeColor="text1"/>
        </w:rPr>
        <w:t xml:space="preserve"> </w:t>
      </w:r>
      <w:r w:rsidRPr="00E3618B">
        <w:rPr>
          <w:rFonts w:cs="Arial"/>
          <w:color w:val="000000" w:themeColor="text1"/>
          <w:szCs w:val="22"/>
        </w:rPr>
        <w:t>(gCO</w:t>
      </w:r>
      <w:r w:rsidRPr="00E3618B">
        <w:rPr>
          <w:rFonts w:cs="Arial"/>
          <w:color w:val="000000" w:themeColor="text1"/>
          <w:szCs w:val="22"/>
          <w:vertAlign w:val="subscript"/>
        </w:rPr>
        <w:t>2e</w:t>
      </w:r>
      <w:r w:rsidRPr="00E3618B">
        <w:rPr>
          <w:rFonts w:cs="Arial"/>
          <w:color w:val="000000" w:themeColor="text1"/>
          <w:szCs w:val="22"/>
        </w:rPr>
        <w:t>/MJ).</w:t>
      </w:r>
    </w:p>
    <w:p w14:paraId="40AB87B0" w14:textId="77777777" w:rsidR="008C0AB8" w:rsidRPr="00E3618B" w:rsidRDefault="008C0AB8" w:rsidP="008C0AB8">
      <w:pPr>
        <w:rPr>
          <w:color w:val="000000" w:themeColor="text1"/>
        </w:rPr>
      </w:pPr>
    </w:p>
    <w:p w14:paraId="0F815411" w14:textId="77777777" w:rsidR="008C0AB8" w:rsidRPr="00E3618B" w:rsidRDefault="008C0AB8" w:rsidP="008C0AB8">
      <w:pPr>
        <w:rPr>
          <w:color w:val="000000" w:themeColor="text1"/>
        </w:rPr>
      </w:pPr>
      <w:r w:rsidRPr="00E3618B">
        <w:rPr>
          <w:rFonts w:cs="Arial"/>
          <w:color w:val="000000" w:themeColor="text1"/>
          <w:szCs w:val="22"/>
        </w:rPr>
        <w:t>4</w:t>
      </w:r>
      <w:r w:rsidRPr="00E3618B">
        <w:rPr>
          <w:color w:val="000000" w:themeColor="text1"/>
        </w:rPr>
        <w:tab/>
        <w:t>The standards set forth in paragraphs 2 and 3 of this regulation shall be subject to a review to be completed by 1 January 2028 to determine:</w:t>
      </w:r>
    </w:p>
    <w:p w14:paraId="6F82BD94" w14:textId="77777777" w:rsidR="008C0AB8" w:rsidRPr="00E3618B" w:rsidRDefault="008C0AB8" w:rsidP="008C0AB8">
      <w:pPr>
        <w:rPr>
          <w:color w:val="000000" w:themeColor="text1"/>
        </w:rPr>
      </w:pPr>
    </w:p>
    <w:p w14:paraId="05AFD9D2" w14:textId="77777777" w:rsidR="008C0AB8" w:rsidRPr="00E3618B" w:rsidRDefault="008C0AB8" w:rsidP="008C0AB8">
      <w:pPr>
        <w:ind w:left="1702" w:hanging="848"/>
        <w:rPr>
          <w:color w:val="000000" w:themeColor="text1"/>
        </w:rPr>
      </w:pPr>
      <w:r w:rsidRPr="00E3618B">
        <w:rPr>
          <w:color w:val="000000" w:themeColor="text1"/>
        </w:rPr>
        <w:t>.1</w:t>
      </w:r>
      <w:r w:rsidRPr="00E3618B">
        <w:rPr>
          <w:color w:val="000000" w:themeColor="text1"/>
        </w:rPr>
        <w:tab/>
        <w:t xml:space="preserve">the cost and availability of marine fuels which comply with the standards set forth in these paragraphs and confirmation by the Parties that it is possible for ships to comply; and </w:t>
      </w:r>
    </w:p>
    <w:p w14:paraId="4643F4ED" w14:textId="77777777" w:rsidR="008C0AB8" w:rsidRPr="00E3618B" w:rsidRDefault="008C0AB8" w:rsidP="008C0AB8">
      <w:pPr>
        <w:ind w:left="848" w:hanging="848"/>
        <w:rPr>
          <w:color w:val="000000" w:themeColor="text1"/>
        </w:rPr>
      </w:pPr>
    </w:p>
    <w:p w14:paraId="4A063A29" w14:textId="31C6864F" w:rsidR="00692284" w:rsidRDefault="008C0AB8" w:rsidP="0037779A">
      <w:pPr>
        <w:ind w:left="1702" w:hanging="1702"/>
        <w:rPr>
          <w:rFonts w:cs="Arial"/>
          <w:color w:val="000000" w:themeColor="text1"/>
          <w:szCs w:val="22"/>
        </w:rPr>
      </w:pPr>
      <w:r w:rsidRPr="00E3618B">
        <w:rPr>
          <w:color w:val="000000" w:themeColor="text1"/>
        </w:rPr>
        <w:tab/>
        <w:t>.2</w:t>
      </w:r>
      <w:r w:rsidRPr="00E3618B">
        <w:rPr>
          <w:color w:val="000000" w:themeColor="text1"/>
        </w:rPr>
        <w:tab/>
        <w:t xml:space="preserve">further reductions in </w:t>
      </w:r>
      <w:r w:rsidRPr="00E3618B">
        <w:rPr>
          <w:rFonts w:cs="Arial"/>
          <w:color w:val="000000" w:themeColor="text1"/>
          <w:szCs w:val="22"/>
        </w:rPr>
        <w:t>t</w:t>
      </w:r>
      <w:r w:rsidRPr="00E3618B">
        <w:rPr>
          <w:color w:val="000000" w:themeColor="text1"/>
        </w:rPr>
        <w:t xml:space="preserve">he GHG Fuel Intensity (Required GFI) of energy used on board </w:t>
      </w:r>
      <w:r w:rsidRPr="00E3618B">
        <w:rPr>
          <w:rFonts w:cs="Arial"/>
          <w:color w:val="000000" w:themeColor="text1"/>
          <w:szCs w:val="22"/>
        </w:rPr>
        <w:t xml:space="preserve">which the ship shall not exceed from 1 January 2032, and further reductions in </w:t>
      </w:r>
      <w:r w:rsidRPr="00E3618B">
        <w:rPr>
          <w:color w:val="000000" w:themeColor="text1"/>
        </w:rPr>
        <w:t>GHG Fuel Intensity (</w:t>
      </w:r>
      <w:r w:rsidRPr="00E3618B">
        <w:rPr>
          <w:rFonts w:cs="Arial"/>
          <w:color w:val="000000" w:themeColor="text1"/>
          <w:szCs w:val="22"/>
        </w:rPr>
        <w:t>Required GFI) that the ship shall not exceed at intervals agreed thereafter, taking account of GHG reduction trajectories for international shipping as agreed by the Organization.</w:t>
      </w:r>
    </w:p>
    <w:p w14:paraId="425BBB53" w14:textId="77777777" w:rsidR="00692284" w:rsidRDefault="00692284" w:rsidP="00135097">
      <w:pPr>
        <w:tabs>
          <w:tab w:val="clear" w:pos="851"/>
        </w:tabs>
      </w:pPr>
    </w:p>
    <w:p w14:paraId="07CB2075" w14:textId="7844370D" w:rsidR="00D911B4" w:rsidRDefault="00692284" w:rsidP="00692284">
      <w:pPr>
        <w:tabs>
          <w:tab w:val="clear" w:pos="851"/>
        </w:tabs>
      </w:pPr>
      <w:r>
        <w:t>5</w:t>
      </w:r>
      <w:r>
        <w:tab/>
      </w:r>
      <w:r w:rsidR="00D911B4">
        <w:t xml:space="preserve">Pursuant to regulation 4 of </w:t>
      </w:r>
      <w:r w:rsidR="00647920">
        <w:t>this Annex</w:t>
      </w:r>
      <w:r w:rsidR="00D911B4">
        <w:t>,</w:t>
      </w:r>
      <w:r w:rsidR="00091A71" w:rsidRPr="00091A71">
        <w:t xml:space="preserve"> </w:t>
      </w:r>
      <w:r w:rsidR="00091A71">
        <w:t>the Organization shall develop guidelines</w:t>
      </w:r>
      <w:r w:rsidR="00D911B4">
        <w:t xml:space="preserve"> </w:t>
      </w:r>
      <w:r w:rsidR="00091A71">
        <w:t xml:space="preserve">on </w:t>
      </w:r>
      <w:r w:rsidR="00D911B4">
        <w:t>equivalent means</w:t>
      </w:r>
      <w:r w:rsidR="00956ED1">
        <w:t xml:space="preserve"> </w:t>
      </w:r>
      <w:r>
        <w:t xml:space="preserve">pertaining to </w:t>
      </w:r>
      <w:r w:rsidR="00956ED1">
        <w:t>other technologies</w:t>
      </w:r>
      <w:r w:rsidR="0035191B">
        <w:t>,</w:t>
      </w:r>
      <w:r w:rsidR="00956ED1">
        <w:t xml:space="preserve"> including </w:t>
      </w:r>
      <w:r w:rsidR="00D911B4">
        <w:t>carbon capture and storage</w:t>
      </w:r>
      <w:r>
        <w:t xml:space="preserve">, </w:t>
      </w:r>
      <w:r w:rsidR="0037779A">
        <w:t xml:space="preserve">used </w:t>
      </w:r>
      <w:r>
        <w:t>to comply with paragraphs</w:t>
      </w:r>
      <w:r w:rsidR="00BB5E11">
        <w:t xml:space="preserve"> 1</w:t>
      </w:r>
      <w:r w:rsidR="001D0086">
        <w:t>,</w:t>
      </w:r>
      <w:r>
        <w:t xml:space="preserve"> 2 and 3 of this regulation</w:t>
      </w:r>
      <w:r w:rsidR="00D911B4">
        <w:t>.</w:t>
      </w:r>
    </w:p>
    <w:p w14:paraId="38E08B95" w14:textId="77777777" w:rsidR="004E3092" w:rsidRDefault="004E3092" w:rsidP="00C345D6">
      <w:pPr>
        <w:rPr>
          <w:rFonts w:cs="Arial"/>
          <w:color w:val="000000" w:themeColor="text1"/>
          <w:szCs w:val="22"/>
        </w:rPr>
      </w:pPr>
    </w:p>
    <w:p w14:paraId="07CCBFA6" w14:textId="3EEBBAB1" w:rsidR="00744940" w:rsidRPr="00E3618B" w:rsidRDefault="00F73870" w:rsidP="008C0AB8">
      <w:pPr>
        <w:rPr>
          <w:rFonts w:cs="Arial"/>
          <w:b/>
          <w:bCs/>
          <w:color w:val="000000" w:themeColor="text1"/>
          <w:szCs w:val="22"/>
        </w:rPr>
      </w:pPr>
      <w:r>
        <w:rPr>
          <w:rFonts w:cs="Arial"/>
          <w:color w:val="000000" w:themeColor="text1"/>
          <w:szCs w:val="22"/>
        </w:rPr>
        <w:t>6</w:t>
      </w:r>
      <w:r w:rsidR="008C0AB8" w:rsidRPr="00E3618B">
        <w:rPr>
          <w:rFonts w:cs="Arial"/>
          <w:color w:val="000000" w:themeColor="text1"/>
          <w:szCs w:val="22"/>
        </w:rPr>
        <w:tab/>
        <w:t>Pursuant to regulation 18.2.1 of this Annex, a ship not able to purchase compliant fuel oil to meet the requirement set out in paragraphs 1</w:t>
      </w:r>
      <w:r w:rsidR="008C0AB8">
        <w:rPr>
          <w:rFonts w:cs="Arial"/>
          <w:color w:val="000000" w:themeColor="text1"/>
          <w:szCs w:val="22"/>
        </w:rPr>
        <w:t xml:space="preserve">, 2 </w:t>
      </w:r>
      <w:r w:rsidR="008C0AB8" w:rsidRPr="00E3618B">
        <w:rPr>
          <w:rFonts w:cs="Arial"/>
          <w:color w:val="000000" w:themeColor="text1"/>
          <w:szCs w:val="22"/>
        </w:rPr>
        <w:t xml:space="preserve">and </w:t>
      </w:r>
      <w:r w:rsidR="008C0AB8">
        <w:rPr>
          <w:rFonts w:cs="Arial"/>
          <w:color w:val="000000" w:themeColor="text1"/>
          <w:szCs w:val="22"/>
        </w:rPr>
        <w:t>3</w:t>
      </w:r>
      <w:r w:rsidR="008C0AB8" w:rsidRPr="00E3618B">
        <w:rPr>
          <w:rFonts w:cs="Arial"/>
          <w:color w:val="000000" w:themeColor="text1"/>
          <w:szCs w:val="22"/>
        </w:rPr>
        <w:t xml:space="preserve"> of this regulation, shall notify its Administration taking into account guidelines developed by the Organization.</w:t>
      </w:r>
      <w:r w:rsidR="008C0AB8" w:rsidRPr="00E3618B">
        <w:rPr>
          <w:rStyle w:val="FootnoteReference"/>
          <w:rFonts w:cs="Arial"/>
          <w:color w:val="000000" w:themeColor="text1"/>
          <w:szCs w:val="22"/>
        </w:rPr>
        <w:footnoteReference w:id="8"/>
      </w:r>
      <w:r w:rsidR="008C0AB8" w:rsidRPr="00E3618B" w:rsidDel="00E3575D">
        <w:rPr>
          <w:rFonts w:cs="Arial"/>
          <w:color w:val="000000" w:themeColor="text1"/>
          <w:szCs w:val="22"/>
        </w:rPr>
        <w:t xml:space="preserve"> </w:t>
      </w:r>
    </w:p>
    <w:p w14:paraId="74FB4F3D" w14:textId="77777777" w:rsidR="008C0AB8" w:rsidRPr="00436718" w:rsidRDefault="008C0AB8" w:rsidP="008C0AB8">
      <w:pPr>
        <w:rPr>
          <w:rFonts w:cs="Arial"/>
          <w:b/>
          <w:bCs/>
          <w:i/>
          <w:iCs/>
          <w:szCs w:val="22"/>
        </w:rPr>
      </w:pPr>
      <w:r w:rsidRPr="007100F6">
        <w:rPr>
          <w:rFonts w:cs="Arial"/>
          <w:b/>
          <w:bCs/>
          <w:i/>
          <w:iCs/>
          <w:szCs w:val="22"/>
        </w:rPr>
        <w:lastRenderedPageBreak/>
        <w:t>[</w:t>
      </w:r>
      <w:r w:rsidRPr="00436718">
        <w:rPr>
          <w:rFonts w:cs="Arial"/>
          <w:b/>
          <w:bCs/>
          <w:i/>
          <w:iCs/>
          <w:szCs w:val="22"/>
        </w:rPr>
        <w:t>9.7</w:t>
      </w:r>
      <w:r w:rsidRPr="00436718">
        <w:rPr>
          <w:rFonts w:cs="Arial"/>
          <w:b/>
          <w:bCs/>
          <w:i/>
          <w:iCs/>
          <w:szCs w:val="22"/>
        </w:rPr>
        <w:tab/>
        <w:t>Alternative compliance approaches (regulation X)]</w:t>
      </w:r>
    </w:p>
    <w:p w14:paraId="681BC2FB" w14:textId="77777777" w:rsidR="008C0AB8" w:rsidRPr="00436718" w:rsidRDefault="008C0AB8" w:rsidP="008C0AB8">
      <w:pPr>
        <w:rPr>
          <w:rFonts w:cs="Arial"/>
          <w:b/>
          <w:bCs/>
          <w:i/>
          <w:iCs/>
          <w:szCs w:val="22"/>
        </w:rPr>
      </w:pPr>
      <w:r w:rsidRPr="00436718">
        <w:rPr>
          <w:rFonts w:cs="Arial"/>
          <w:b/>
          <w:bCs/>
          <w:i/>
          <w:iCs/>
          <w:szCs w:val="22"/>
        </w:rPr>
        <w:t>[.9.4</w:t>
      </w:r>
      <w:r w:rsidRPr="00436718">
        <w:rPr>
          <w:rFonts w:cs="Arial"/>
          <w:b/>
          <w:bCs/>
          <w:i/>
          <w:iCs/>
          <w:szCs w:val="22"/>
        </w:rPr>
        <w:tab/>
        <w:t>Attained GHG fuel intensity (GFI) (regulation X)]</w:t>
      </w:r>
    </w:p>
    <w:p w14:paraId="0C13FFB6" w14:textId="77777777" w:rsidR="008C0AB8" w:rsidRPr="00436718" w:rsidRDefault="008C0AB8" w:rsidP="008C0AB8">
      <w:pPr>
        <w:rPr>
          <w:rFonts w:cs="Arial"/>
          <w:b/>
          <w:bCs/>
          <w:i/>
          <w:iCs/>
          <w:szCs w:val="22"/>
        </w:rPr>
      </w:pPr>
      <w:r w:rsidRPr="00436718">
        <w:rPr>
          <w:rFonts w:cs="Arial"/>
          <w:b/>
          <w:bCs/>
          <w:i/>
          <w:iCs/>
          <w:szCs w:val="22"/>
        </w:rPr>
        <w:t>[.9.6</w:t>
      </w:r>
      <w:r w:rsidRPr="00436718">
        <w:rPr>
          <w:rFonts w:cs="Arial"/>
          <w:b/>
          <w:bCs/>
          <w:i/>
          <w:iCs/>
          <w:szCs w:val="22"/>
        </w:rPr>
        <w:tab/>
        <w:t>GFI data collection and reporting (regulation X)]</w:t>
      </w:r>
    </w:p>
    <w:p w14:paraId="7645AB80" w14:textId="77777777" w:rsidR="008C0AB8" w:rsidRDefault="008C0AB8" w:rsidP="008C0AB8">
      <w:pPr>
        <w:rPr>
          <w:rFonts w:cs="Arial"/>
          <w:b/>
          <w:bCs/>
          <w:color w:val="000000" w:themeColor="text1"/>
          <w:szCs w:val="22"/>
        </w:rPr>
      </w:pPr>
    </w:p>
    <w:p w14:paraId="69D14B27" w14:textId="77777777" w:rsidR="008C0AB8" w:rsidRPr="00436718" w:rsidRDefault="008C0AB8" w:rsidP="008C0AB8">
      <w:pPr>
        <w:rPr>
          <w:rFonts w:cs="Arial"/>
          <w:b/>
          <w:bCs/>
          <w:i/>
          <w:iCs/>
          <w:szCs w:val="22"/>
        </w:rPr>
      </w:pPr>
      <w:r w:rsidRPr="00436718">
        <w:rPr>
          <w:rFonts w:cs="Arial"/>
          <w:b/>
          <w:bCs/>
          <w:i/>
          <w:iCs/>
          <w:szCs w:val="22"/>
        </w:rPr>
        <w:t xml:space="preserve">[NB: </w:t>
      </w:r>
      <w:r>
        <w:rPr>
          <w:rFonts w:cs="Arial"/>
          <w:b/>
          <w:bCs/>
          <w:i/>
          <w:iCs/>
          <w:szCs w:val="22"/>
        </w:rPr>
        <w:t>R</w:t>
      </w:r>
      <w:r w:rsidRPr="00436718">
        <w:rPr>
          <w:rFonts w:cs="Arial"/>
          <w:b/>
          <w:bCs/>
          <w:i/>
          <w:iCs/>
          <w:szCs w:val="22"/>
        </w:rPr>
        <w:t>egulation 36 below combines text which addresses all three of the above headings into a single regulation.]</w:t>
      </w:r>
    </w:p>
    <w:p w14:paraId="4D293CA1" w14:textId="77777777" w:rsidR="00AA2172" w:rsidRDefault="00AA2172" w:rsidP="008C0AB8">
      <w:pPr>
        <w:rPr>
          <w:rFonts w:cs="Arial"/>
          <w:b/>
          <w:bCs/>
          <w:color w:val="000000" w:themeColor="text1"/>
          <w:szCs w:val="22"/>
        </w:rPr>
      </w:pPr>
    </w:p>
    <w:p w14:paraId="6578231C" w14:textId="21EE4712"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36</w:t>
      </w:r>
    </w:p>
    <w:p w14:paraId="4CE7E04F"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Alternative compliance by a ship</w:t>
      </w:r>
    </w:p>
    <w:p w14:paraId="76950931" w14:textId="77777777" w:rsidR="008C0AB8" w:rsidRPr="00E3618B" w:rsidRDefault="008C0AB8" w:rsidP="008C0AB8">
      <w:pPr>
        <w:rPr>
          <w:rFonts w:cs="Arial"/>
          <w:i/>
          <w:iCs/>
          <w:color w:val="000000" w:themeColor="text1"/>
          <w:szCs w:val="22"/>
        </w:rPr>
      </w:pPr>
    </w:p>
    <w:p w14:paraId="4E8E9C7A" w14:textId="77777777" w:rsidR="008C0AB8" w:rsidRPr="00E3618B" w:rsidRDefault="008C0AB8" w:rsidP="008C0AB8">
      <w:pPr>
        <w:rPr>
          <w:rFonts w:cs="Arial"/>
          <w:b/>
          <w:bCs/>
          <w:color w:val="000000" w:themeColor="text1"/>
          <w:szCs w:val="22"/>
        </w:rPr>
      </w:pPr>
      <w:r w:rsidRPr="00E3618B">
        <w:rPr>
          <w:rFonts w:cs="Arial"/>
          <w:color w:val="000000" w:themeColor="text1"/>
          <w:szCs w:val="22"/>
        </w:rPr>
        <w:t>1</w:t>
      </w:r>
      <w:r w:rsidRPr="00E3618B">
        <w:rPr>
          <w:rFonts w:cs="Arial"/>
          <w:color w:val="000000" w:themeColor="text1"/>
          <w:szCs w:val="22"/>
        </w:rPr>
        <w:tab/>
      </w:r>
      <w:r w:rsidRPr="00E3618B">
        <w:rPr>
          <w:color w:val="000000" w:themeColor="text1"/>
        </w:rPr>
        <w:t xml:space="preserve">From 1 January 2028, </w:t>
      </w:r>
      <w:r w:rsidRPr="00E3618B">
        <w:rPr>
          <w:rFonts w:cs="Arial"/>
          <w:color w:val="000000" w:themeColor="text1"/>
          <w:szCs w:val="22"/>
        </w:rPr>
        <w:t>for each ship which uses fuel</w:t>
      </w:r>
      <w:r w:rsidRPr="00E3618B">
        <w:rPr>
          <w:rFonts w:cs="Arial"/>
          <w:i/>
          <w:iCs/>
          <w:color w:val="000000" w:themeColor="text1"/>
          <w:szCs w:val="22"/>
        </w:rPr>
        <w:t xml:space="preserve"> </w:t>
      </w:r>
      <w:r w:rsidRPr="00E3618B">
        <w:rPr>
          <w:rFonts w:cs="Arial"/>
          <w:color w:val="000000" w:themeColor="text1"/>
          <w:szCs w:val="22"/>
        </w:rPr>
        <w:t xml:space="preserve">oil </w:t>
      </w:r>
      <w:r w:rsidRPr="00E3618B">
        <w:rPr>
          <w:color w:val="000000" w:themeColor="text1"/>
        </w:rPr>
        <w:t>which has a GHG Fuel Intensity (Attained GFI) that exceeds the Required GFI stipulated by regulation 3</w:t>
      </w:r>
      <w:r>
        <w:rPr>
          <w:color w:val="000000" w:themeColor="text1"/>
        </w:rPr>
        <w:t>5</w:t>
      </w:r>
      <w:r w:rsidRPr="00E3618B">
        <w:rPr>
          <w:color w:val="000000" w:themeColor="text1"/>
        </w:rPr>
        <w:t xml:space="preserve"> </w:t>
      </w:r>
      <w:r w:rsidRPr="00E3618B">
        <w:rPr>
          <w:rFonts w:cs="Arial"/>
          <w:color w:val="000000" w:themeColor="text1"/>
          <w:szCs w:val="22"/>
        </w:rPr>
        <w:t>of this Annex:</w:t>
      </w:r>
    </w:p>
    <w:p w14:paraId="5015E1F1" w14:textId="77777777" w:rsidR="008C0AB8" w:rsidRPr="00E3618B" w:rsidRDefault="008C0AB8" w:rsidP="008C0AB8">
      <w:pPr>
        <w:rPr>
          <w:rFonts w:cs="Arial"/>
          <w:b/>
          <w:bCs/>
          <w:color w:val="000000" w:themeColor="text1"/>
          <w:szCs w:val="22"/>
        </w:rPr>
      </w:pPr>
    </w:p>
    <w:p w14:paraId="7289AA6C" w14:textId="77777777" w:rsidR="008C0AB8" w:rsidRPr="00E3618B" w:rsidRDefault="008C0AB8" w:rsidP="008C0AB8">
      <w:pPr>
        <w:ind w:left="1702" w:hanging="1702"/>
        <w:rPr>
          <w:rFonts w:cs="Arial"/>
          <w:color w:val="000000" w:themeColor="text1"/>
          <w:szCs w:val="22"/>
        </w:rPr>
      </w:pPr>
      <w:r w:rsidRPr="00E3618B">
        <w:rPr>
          <w:rFonts w:cs="Arial"/>
          <w:color w:val="000000" w:themeColor="text1"/>
          <w:szCs w:val="22"/>
        </w:rPr>
        <w:tab/>
        <w:t>.1</w:t>
      </w:r>
      <w:r w:rsidRPr="00E3618B">
        <w:rPr>
          <w:rFonts w:cs="Arial"/>
          <w:color w:val="000000" w:themeColor="text1"/>
          <w:szCs w:val="22"/>
        </w:rPr>
        <w:tab/>
        <w:t>for each tonne of CO</w:t>
      </w:r>
      <w:r w:rsidRPr="00E3618B">
        <w:rPr>
          <w:rFonts w:cs="Arial"/>
          <w:color w:val="000000" w:themeColor="text1"/>
          <w:szCs w:val="22"/>
          <w:vertAlign w:val="subscript"/>
        </w:rPr>
        <w:t>2</w:t>
      </w:r>
      <w:r w:rsidRPr="00E3618B">
        <w:rPr>
          <w:rFonts w:cs="Arial"/>
          <w:color w:val="000000" w:themeColor="text1"/>
          <w:szCs w:val="22"/>
        </w:rPr>
        <w:t xml:space="preserve">e emitted due to Attained GFI exceeding Required GFI, </w:t>
      </w:r>
      <w:r w:rsidRPr="00E3618B">
        <w:rPr>
          <w:color w:val="000000" w:themeColor="text1"/>
        </w:rPr>
        <w:t xml:space="preserve">the ship shall </w:t>
      </w:r>
      <w:r>
        <w:rPr>
          <w:color w:val="000000" w:themeColor="text1"/>
        </w:rPr>
        <w:t>pay to</w:t>
      </w:r>
      <w:r w:rsidRPr="00E3618B">
        <w:rPr>
          <w:color w:val="000000" w:themeColor="text1"/>
        </w:rPr>
        <w:t xml:space="preserve"> the Organization, in accordance with the </w:t>
      </w:r>
      <w:r w:rsidRPr="00E3618B">
        <w:rPr>
          <w:rFonts w:cs="Arial"/>
          <w:color w:val="000000" w:themeColor="text1"/>
          <w:szCs w:val="22"/>
        </w:rPr>
        <w:t>maritime GHG emissions pricing mechanism,</w:t>
      </w:r>
      <w:r w:rsidRPr="00E3618B">
        <w:rPr>
          <w:color w:val="000000" w:themeColor="text1"/>
        </w:rPr>
        <w:t xml:space="preserve"> a </w:t>
      </w:r>
      <w:r>
        <w:rPr>
          <w:color w:val="000000" w:themeColor="text1"/>
        </w:rPr>
        <w:t xml:space="preserve">GHG </w:t>
      </w:r>
      <w:r w:rsidRPr="00E3618B">
        <w:rPr>
          <w:color w:val="000000" w:themeColor="text1"/>
        </w:rPr>
        <w:t>Surcharge Fee (</w:t>
      </w:r>
      <w:r>
        <w:rPr>
          <w:color w:val="000000" w:themeColor="text1"/>
        </w:rPr>
        <w:t>G</w:t>
      </w:r>
      <w:r w:rsidRPr="00E3618B">
        <w:rPr>
          <w:color w:val="000000" w:themeColor="text1"/>
        </w:rPr>
        <w:t>SF) that shall be determined as follows:</w:t>
      </w:r>
    </w:p>
    <w:p w14:paraId="265BE334" w14:textId="77777777" w:rsidR="008C0AB8" w:rsidRPr="00E3618B" w:rsidRDefault="008C0AB8" w:rsidP="008C0AB8">
      <w:pPr>
        <w:ind w:left="1702" w:hanging="1702"/>
        <w:rPr>
          <w:color w:val="000000" w:themeColor="text1"/>
        </w:rPr>
      </w:pPr>
    </w:p>
    <w:p w14:paraId="2E280002" w14:textId="77777777" w:rsidR="008C0AB8" w:rsidRPr="00E3618B" w:rsidRDefault="008C0AB8" w:rsidP="008C0AB8">
      <w:pPr>
        <w:ind w:left="1702" w:hanging="1702"/>
        <w:jc w:val="center"/>
        <w:rPr>
          <w:color w:val="000000" w:themeColor="text1"/>
        </w:rPr>
      </w:pPr>
      <w:r w:rsidRPr="00E3618B">
        <w:rPr>
          <w:color w:val="000000" w:themeColor="text1"/>
        </w:rPr>
        <w:tab/>
      </w:r>
      <w:r>
        <w:rPr>
          <w:color w:val="000000" w:themeColor="text1"/>
        </w:rPr>
        <w:t>G</w:t>
      </w:r>
      <w:r w:rsidRPr="00E3618B">
        <w:rPr>
          <w:color w:val="000000" w:themeColor="text1"/>
        </w:rPr>
        <w:t>SF = ((tonnes CO</w:t>
      </w:r>
      <w:r w:rsidRPr="00E3618B">
        <w:rPr>
          <w:color w:val="000000" w:themeColor="text1"/>
          <w:vertAlign w:val="subscript"/>
        </w:rPr>
        <w:t>2</w:t>
      </w:r>
      <w:r w:rsidRPr="00E3618B">
        <w:rPr>
          <w:color w:val="000000" w:themeColor="text1"/>
        </w:rPr>
        <w:t>e Attained GFI) – (tonnes CO</w:t>
      </w:r>
      <w:r w:rsidRPr="00E3618B">
        <w:rPr>
          <w:color w:val="000000" w:themeColor="text1"/>
          <w:vertAlign w:val="subscript"/>
        </w:rPr>
        <w:t>2</w:t>
      </w:r>
      <w:r w:rsidRPr="00E3618B">
        <w:rPr>
          <w:color w:val="000000" w:themeColor="text1"/>
        </w:rPr>
        <w:t>e Required GFI))</w:t>
      </w:r>
    </w:p>
    <w:p w14:paraId="4F951675" w14:textId="30FC3C0B" w:rsidR="008C0AB8" w:rsidRPr="00E3618B" w:rsidRDefault="008C0AB8" w:rsidP="008C0AB8">
      <w:pPr>
        <w:ind w:left="1702" w:hanging="1702"/>
        <w:jc w:val="center"/>
        <w:rPr>
          <w:color w:val="000000" w:themeColor="text1"/>
        </w:rPr>
      </w:pPr>
      <w:r w:rsidRPr="00E3618B">
        <w:rPr>
          <w:b/>
          <w:bCs/>
          <w:color w:val="000000" w:themeColor="text1"/>
          <w:sz w:val="28"/>
          <w:szCs w:val="28"/>
        </w:rPr>
        <w:t>.</w:t>
      </w:r>
      <w:r w:rsidRPr="00E3618B">
        <w:rPr>
          <w:color w:val="000000" w:themeColor="text1"/>
        </w:rPr>
        <w:t xml:space="preserve"> ([X%]</w:t>
      </w:r>
      <w:r w:rsidRPr="00E3618B">
        <w:rPr>
          <w:rStyle w:val="FootnoteReference"/>
          <w:color w:val="000000" w:themeColor="text1"/>
        </w:rPr>
        <w:footnoteReference w:id="9"/>
      </w:r>
      <w:r w:rsidRPr="00E3618B">
        <w:rPr>
          <w:color w:val="000000" w:themeColor="text1"/>
        </w:rPr>
        <w:t xml:space="preserve"> of [US$</w:t>
      </w:r>
      <w:r>
        <w:rPr>
          <w:color w:val="000000" w:themeColor="text1"/>
        </w:rPr>
        <w:t>1</w:t>
      </w:r>
      <w:r w:rsidR="007D6486">
        <w:rPr>
          <w:color w:val="000000" w:themeColor="text1"/>
        </w:rPr>
        <w:t>8.75</w:t>
      </w:r>
      <w:r w:rsidRPr="00E3618B">
        <w:rPr>
          <w:color w:val="000000" w:themeColor="text1"/>
        </w:rPr>
        <w:t>]</w:t>
      </w:r>
      <w:r w:rsidRPr="00E3618B">
        <w:rPr>
          <w:rStyle w:val="FootnoteReference"/>
          <w:color w:val="000000" w:themeColor="text1"/>
        </w:rPr>
        <w:footnoteReference w:id="10"/>
      </w:r>
      <w:r w:rsidRPr="00E3618B">
        <w:rPr>
          <w:color w:val="000000" w:themeColor="text1"/>
        </w:rPr>
        <w:t xml:space="preserve"> per tonne of CO</w:t>
      </w:r>
      <w:r w:rsidRPr="00E3618B">
        <w:rPr>
          <w:color w:val="000000" w:themeColor="text1"/>
          <w:vertAlign w:val="subscript"/>
        </w:rPr>
        <w:t>2</w:t>
      </w:r>
      <w:r w:rsidRPr="00E3618B">
        <w:rPr>
          <w:color w:val="000000" w:themeColor="text1"/>
        </w:rPr>
        <w:t>e)</w:t>
      </w:r>
    </w:p>
    <w:p w14:paraId="258B5628" w14:textId="77777777" w:rsidR="008C0AB8" w:rsidRPr="00E3618B" w:rsidRDefault="008C0AB8" w:rsidP="008C0AB8">
      <w:pPr>
        <w:ind w:left="1702" w:hanging="1702"/>
        <w:jc w:val="center"/>
        <w:rPr>
          <w:color w:val="000000" w:themeColor="text1"/>
        </w:rPr>
      </w:pPr>
    </w:p>
    <w:p w14:paraId="6D74F33A" w14:textId="34C52504" w:rsidR="008C0AB8" w:rsidRPr="00E3618B" w:rsidRDefault="008C0AB8" w:rsidP="008C0AB8">
      <w:pPr>
        <w:ind w:left="1702" w:hanging="1702"/>
        <w:rPr>
          <w:color w:val="000000" w:themeColor="text1"/>
        </w:rPr>
      </w:pPr>
      <w:r w:rsidRPr="00E3618B">
        <w:rPr>
          <w:color w:val="000000" w:themeColor="text1"/>
        </w:rPr>
        <w:tab/>
      </w:r>
      <w:r w:rsidRPr="00E3618B">
        <w:rPr>
          <w:color w:val="000000" w:themeColor="text1"/>
        </w:rPr>
        <w:tab/>
        <w:t>Where, tonnes of CO</w:t>
      </w:r>
      <w:r w:rsidRPr="00E3618B">
        <w:rPr>
          <w:color w:val="000000" w:themeColor="text1"/>
          <w:vertAlign w:val="subscript"/>
        </w:rPr>
        <w:t>2</w:t>
      </w:r>
      <w:r w:rsidRPr="00E3618B">
        <w:rPr>
          <w:color w:val="000000" w:themeColor="text1"/>
        </w:rPr>
        <w:t xml:space="preserve">e = Y </w:t>
      </w:r>
      <w:r w:rsidRPr="00E3618B">
        <w:rPr>
          <w:b/>
          <w:bCs/>
          <w:color w:val="000000" w:themeColor="text1"/>
          <w:sz w:val="28"/>
          <w:szCs w:val="28"/>
        </w:rPr>
        <w:t>.</w:t>
      </w:r>
      <w:r w:rsidRPr="00E3618B">
        <w:rPr>
          <w:color w:val="000000" w:themeColor="text1"/>
        </w:rPr>
        <w:t xml:space="preserve"> M </w:t>
      </w:r>
      <w:r w:rsidRPr="00E3618B">
        <w:rPr>
          <w:b/>
          <w:bCs/>
          <w:color w:val="000000" w:themeColor="text1"/>
          <w:sz w:val="28"/>
          <w:szCs w:val="28"/>
        </w:rPr>
        <w:t>.</w:t>
      </w:r>
      <w:r w:rsidRPr="00E3618B">
        <w:rPr>
          <w:color w:val="000000" w:themeColor="text1"/>
        </w:rPr>
        <w:t xml:space="preserve"> LCV</w:t>
      </w:r>
    </w:p>
    <w:p w14:paraId="3AA3E8D7" w14:textId="77777777" w:rsidR="008C0AB8" w:rsidRPr="00E3618B" w:rsidRDefault="008C0AB8" w:rsidP="008C0AB8">
      <w:pPr>
        <w:ind w:left="1702" w:hanging="1702"/>
        <w:rPr>
          <w:color w:val="000000" w:themeColor="text1"/>
        </w:rPr>
      </w:pPr>
    </w:p>
    <w:p w14:paraId="3D2841D1" w14:textId="77777777" w:rsidR="008C0AB8" w:rsidRPr="00E3618B" w:rsidRDefault="008C0AB8" w:rsidP="008C0AB8">
      <w:pPr>
        <w:ind w:left="1702" w:hanging="1"/>
        <w:rPr>
          <w:rFonts w:cs="Arial"/>
          <w:color w:val="000000" w:themeColor="text1"/>
          <w:szCs w:val="22"/>
        </w:rPr>
      </w:pPr>
      <w:r w:rsidRPr="00E3618B">
        <w:rPr>
          <w:color w:val="000000" w:themeColor="text1"/>
        </w:rPr>
        <w:t xml:space="preserve">Y = </w:t>
      </w:r>
      <w:r w:rsidRPr="00E3618B">
        <w:rPr>
          <w:rFonts w:cs="Arial"/>
          <w:color w:val="000000" w:themeColor="text1"/>
          <w:szCs w:val="22"/>
        </w:rPr>
        <w:t>GHG intensity of the fuel used (gCO</w:t>
      </w:r>
      <w:r w:rsidRPr="00E3618B">
        <w:rPr>
          <w:rFonts w:cs="Arial"/>
          <w:color w:val="000000" w:themeColor="text1"/>
          <w:szCs w:val="22"/>
          <w:vertAlign w:val="subscript"/>
        </w:rPr>
        <w:t>2</w:t>
      </w:r>
      <w:r w:rsidRPr="00E3618B">
        <w:rPr>
          <w:rFonts w:cs="Arial"/>
          <w:color w:val="000000" w:themeColor="text1"/>
          <w:szCs w:val="22"/>
        </w:rPr>
        <w:t>e/MJ)</w:t>
      </w:r>
    </w:p>
    <w:p w14:paraId="4C71D43A" w14:textId="77777777" w:rsidR="008C0AB8" w:rsidRPr="00E3618B" w:rsidRDefault="008C0AB8" w:rsidP="008C0AB8">
      <w:pPr>
        <w:ind w:left="1702" w:hanging="1"/>
        <w:rPr>
          <w:color w:val="000000" w:themeColor="text1"/>
        </w:rPr>
      </w:pPr>
      <w:r w:rsidRPr="00E3618B">
        <w:rPr>
          <w:color w:val="000000" w:themeColor="text1"/>
        </w:rPr>
        <w:t>M = mass of fuel used in metric tonnes (MT);</w:t>
      </w:r>
    </w:p>
    <w:p w14:paraId="45E7A517" w14:textId="77777777" w:rsidR="008C0AB8" w:rsidRPr="00E3618B" w:rsidRDefault="008C0AB8" w:rsidP="008C0AB8">
      <w:pPr>
        <w:ind w:left="1702" w:hanging="1"/>
        <w:rPr>
          <w:color w:val="000000" w:themeColor="text1"/>
        </w:rPr>
      </w:pPr>
      <w:r w:rsidRPr="00E3618B">
        <w:rPr>
          <w:color w:val="000000" w:themeColor="text1"/>
        </w:rPr>
        <w:t>LCV = Lower Calorific Value of fuel used (MJ/g);</w:t>
      </w:r>
    </w:p>
    <w:p w14:paraId="62B52C09" w14:textId="77777777" w:rsidR="008C0AB8" w:rsidRPr="00E3618B" w:rsidRDefault="008C0AB8" w:rsidP="008C0AB8">
      <w:pPr>
        <w:rPr>
          <w:color w:val="000000" w:themeColor="text1"/>
        </w:rPr>
      </w:pPr>
    </w:p>
    <w:p w14:paraId="5B673673" w14:textId="57984278" w:rsidR="008C0AB8" w:rsidRPr="00E3618B" w:rsidRDefault="008C0AB8" w:rsidP="008C0AB8">
      <w:pPr>
        <w:ind w:left="1702" w:hanging="1702"/>
        <w:rPr>
          <w:color w:val="000000" w:themeColor="text1"/>
        </w:rPr>
      </w:pPr>
      <w:r w:rsidRPr="00E3618B">
        <w:rPr>
          <w:color w:val="000000" w:themeColor="text1"/>
        </w:rPr>
        <w:tab/>
        <w:t>.2</w:t>
      </w:r>
      <w:r w:rsidRPr="00E3618B">
        <w:rPr>
          <w:color w:val="000000" w:themeColor="text1"/>
        </w:rPr>
        <w:tab/>
        <w:t>from 1 January 2030, subject to the review required by regulation 3</w:t>
      </w:r>
      <w:r>
        <w:rPr>
          <w:color w:val="000000" w:themeColor="text1"/>
        </w:rPr>
        <w:t>5</w:t>
      </w:r>
      <w:r w:rsidRPr="00E3618B">
        <w:rPr>
          <w:color w:val="000000" w:themeColor="text1"/>
        </w:rPr>
        <w:t xml:space="preserve">.4 of this Annex, the </w:t>
      </w:r>
      <w:r>
        <w:rPr>
          <w:color w:val="000000" w:themeColor="text1"/>
        </w:rPr>
        <w:t xml:space="preserve">GHG </w:t>
      </w:r>
      <w:r w:rsidRPr="00E3618B">
        <w:rPr>
          <w:color w:val="000000" w:themeColor="text1"/>
        </w:rPr>
        <w:t xml:space="preserve">Surcharge Fee </w:t>
      </w:r>
      <w:r w:rsidR="008F5078">
        <w:rPr>
          <w:color w:val="000000" w:themeColor="text1"/>
        </w:rPr>
        <w:t xml:space="preserve">shall </w:t>
      </w:r>
      <w:r w:rsidR="0024019A">
        <w:rPr>
          <w:color w:val="000000" w:themeColor="text1"/>
        </w:rPr>
        <w:t>be</w:t>
      </w:r>
      <w:r w:rsidRPr="00E3618B">
        <w:rPr>
          <w:color w:val="000000" w:themeColor="text1"/>
        </w:rPr>
        <w:t xml:space="preserve"> [X%] of the GHG fee specified by regulation </w:t>
      </w:r>
      <w:r>
        <w:rPr>
          <w:color w:val="000000" w:themeColor="text1"/>
        </w:rPr>
        <w:t>40</w:t>
      </w:r>
      <w:r w:rsidRPr="00E3618B">
        <w:rPr>
          <w:color w:val="000000" w:themeColor="text1"/>
        </w:rPr>
        <w:t>.</w:t>
      </w:r>
      <w:r>
        <w:rPr>
          <w:color w:val="000000" w:themeColor="text1"/>
        </w:rPr>
        <w:t>4</w:t>
      </w:r>
      <w:r w:rsidRPr="00E3618B">
        <w:rPr>
          <w:color w:val="000000" w:themeColor="text1"/>
        </w:rPr>
        <w:t xml:space="preserve"> of this Annex;</w:t>
      </w:r>
    </w:p>
    <w:p w14:paraId="21A0CA2C" w14:textId="77777777" w:rsidR="008C0AB8" w:rsidRPr="00E3618B" w:rsidRDefault="008C0AB8" w:rsidP="008C0AB8">
      <w:pPr>
        <w:ind w:left="1702" w:hanging="1702"/>
        <w:rPr>
          <w:color w:val="000000" w:themeColor="text1"/>
        </w:rPr>
      </w:pPr>
    </w:p>
    <w:p w14:paraId="3078BF25" w14:textId="073AD295" w:rsidR="008C0AB8" w:rsidRPr="00E3618B" w:rsidRDefault="008C0AB8" w:rsidP="008C0AB8">
      <w:pPr>
        <w:ind w:left="1702" w:hanging="1702"/>
        <w:rPr>
          <w:color w:val="000000" w:themeColor="text1"/>
        </w:rPr>
      </w:pPr>
      <w:r w:rsidRPr="00E3618B">
        <w:rPr>
          <w:color w:val="000000" w:themeColor="text1"/>
        </w:rPr>
        <w:tab/>
        <w:t>.3</w:t>
      </w:r>
      <w:r w:rsidRPr="00E3618B">
        <w:rPr>
          <w:color w:val="000000" w:themeColor="text1"/>
        </w:rPr>
        <w:tab/>
        <w:t>from 1 January 2040, subject to the review required by regulation 3</w:t>
      </w:r>
      <w:r>
        <w:rPr>
          <w:color w:val="000000" w:themeColor="text1"/>
        </w:rPr>
        <w:t>5</w:t>
      </w:r>
      <w:r w:rsidRPr="00E3618B">
        <w:rPr>
          <w:color w:val="000000" w:themeColor="text1"/>
        </w:rPr>
        <w:t xml:space="preserve">.4 of this Annex, the </w:t>
      </w:r>
      <w:r>
        <w:rPr>
          <w:color w:val="000000" w:themeColor="text1"/>
        </w:rPr>
        <w:t xml:space="preserve">GHG </w:t>
      </w:r>
      <w:r w:rsidRPr="00E3618B">
        <w:rPr>
          <w:color w:val="000000" w:themeColor="text1"/>
        </w:rPr>
        <w:t xml:space="preserve">Surcharge Fee </w:t>
      </w:r>
      <w:r w:rsidR="006B3AF0">
        <w:rPr>
          <w:color w:val="000000" w:themeColor="text1"/>
        </w:rPr>
        <w:t xml:space="preserve">shall </w:t>
      </w:r>
      <w:r w:rsidR="0024019A">
        <w:rPr>
          <w:color w:val="000000" w:themeColor="text1"/>
        </w:rPr>
        <w:t>be</w:t>
      </w:r>
      <w:r w:rsidRPr="00E3618B">
        <w:rPr>
          <w:color w:val="000000" w:themeColor="text1"/>
        </w:rPr>
        <w:t xml:space="preserve"> [X%] of the GHG fee specified by regulation </w:t>
      </w:r>
      <w:r>
        <w:rPr>
          <w:color w:val="000000" w:themeColor="text1"/>
        </w:rPr>
        <w:t>40</w:t>
      </w:r>
      <w:r w:rsidRPr="00E3618B">
        <w:rPr>
          <w:color w:val="000000" w:themeColor="text1"/>
        </w:rPr>
        <w:t>.</w:t>
      </w:r>
      <w:r>
        <w:rPr>
          <w:color w:val="000000" w:themeColor="text1"/>
        </w:rPr>
        <w:t>4</w:t>
      </w:r>
      <w:r w:rsidRPr="00E3618B">
        <w:rPr>
          <w:color w:val="000000" w:themeColor="text1"/>
        </w:rPr>
        <w:t xml:space="preserve"> of this Annex; and</w:t>
      </w:r>
    </w:p>
    <w:p w14:paraId="2349BB05" w14:textId="77777777" w:rsidR="008C0AB8" w:rsidRPr="00E3618B" w:rsidRDefault="008C0AB8" w:rsidP="008C0AB8">
      <w:pPr>
        <w:ind w:left="1702" w:hanging="1702"/>
        <w:rPr>
          <w:color w:val="000000" w:themeColor="text1"/>
        </w:rPr>
      </w:pPr>
    </w:p>
    <w:p w14:paraId="5E987AB8" w14:textId="77777777" w:rsidR="008C0AB8" w:rsidRPr="00E3618B" w:rsidRDefault="008C0AB8" w:rsidP="008C0AB8">
      <w:pPr>
        <w:ind w:left="1702" w:hanging="1702"/>
        <w:rPr>
          <w:rFonts w:cs="Arial"/>
          <w:color w:val="000000" w:themeColor="text1"/>
          <w:szCs w:val="22"/>
        </w:rPr>
      </w:pPr>
      <w:r w:rsidRPr="00E3618B">
        <w:rPr>
          <w:color w:val="000000" w:themeColor="text1"/>
        </w:rPr>
        <w:tab/>
        <w:t>.4</w:t>
      </w:r>
      <w:r w:rsidRPr="00E3618B">
        <w:rPr>
          <w:color w:val="000000" w:themeColor="text1"/>
        </w:rPr>
        <w:tab/>
      </w:r>
      <w:r w:rsidRPr="00E3618B">
        <w:rPr>
          <w:rFonts w:cs="Arial"/>
          <w:color w:val="000000" w:themeColor="text1"/>
          <w:szCs w:val="22"/>
        </w:rPr>
        <w:t>pursuant to regulation 27 of this Annex, fuel oil data used to determine the additional tonnes of CO</w:t>
      </w:r>
      <w:r w:rsidRPr="00E3618B">
        <w:rPr>
          <w:rFonts w:cs="Arial"/>
          <w:color w:val="000000" w:themeColor="text1"/>
          <w:szCs w:val="22"/>
          <w:vertAlign w:val="subscript"/>
        </w:rPr>
        <w:t>2</w:t>
      </w:r>
      <w:r w:rsidRPr="00E3618B">
        <w:rPr>
          <w:rFonts w:cs="Arial"/>
          <w:color w:val="000000" w:themeColor="text1"/>
          <w:szCs w:val="22"/>
        </w:rPr>
        <w:t>e emitted due to Attained GFI exceeding the Required GFI, shall be reported by the ship to the Administration</w:t>
      </w:r>
      <w:r w:rsidRPr="00E3618B">
        <w:rPr>
          <w:rStyle w:val="FootnoteReference"/>
          <w:rFonts w:cs="Arial"/>
          <w:color w:val="000000" w:themeColor="text1"/>
          <w:szCs w:val="22"/>
        </w:rPr>
        <w:footnoteReference w:id="11"/>
      </w:r>
      <w:r w:rsidRPr="00E3618B">
        <w:rPr>
          <w:rFonts w:cs="Arial"/>
          <w:color w:val="000000" w:themeColor="text1"/>
          <w:szCs w:val="22"/>
        </w:rPr>
        <w:t xml:space="preserve">. Pursuant to regulation </w:t>
      </w:r>
      <w:r>
        <w:rPr>
          <w:rFonts w:cs="Arial"/>
          <w:color w:val="000000" w:themeColor="text1"/>
          <w:szCs w:val="22"/>
        </w:rPr>
        <w:t>40</w:t>
      </w:r>
      <w:r w:rsidRPr="00E3618B">
        <w:rPr>
          <w:rFonts w:cs="Arial"/>
          <w:color w:val="000000" w:themeColor="text1"/>
          <w:szCs w:val="22"/>
        </w:rPr>
        <w:t>.</w:t>
      </w:r>
      <w:r>
        <w:rPr>
          <w:rFonts w:cs="Arial"/>
          <w:color w:val="000000" w:themeColor="text1"/>
          <w:szCs w:val="22"/>
        </w:rPr>
        <w:t>6</w:t>
      </w:r>
      <w:r w:rsidRPr="00E3618B">
        <w:rPr>
          <w:rFonts w:cs="Arial"/>
          <w:color w:val="000000" w:themeColor="text1"/>
          <w:szCs w:val="22"/>
        </w:rPr>
        <w:t xml:space="preserve"> of this Annex, data shall be submitted to the Organization in accordance with the maritime GHG emissions pricing mechanism.</w:t>
      </w:r>
    </w:p>
    <w:p w14:paraId="1AA8BEC3" w14:textId="77777777" w:rsidR="008C0AB8" w:rsidRPr="00E3618B" w:rsidRDefault="008C0AB8" w:rsidP="008C0AB8">
      <w:pPr>
        <w:rPr>
          <w:color w:val="000000" w:themeColor="text1"/>
        </w:rPr>
      </w:pPr>
    </w:p>
    <w:p w14:paraId="75974066" w14:textId="77777777" w:rsidR="003B681A" w:rsidRDefault="008C0AB8" w:rsidP="008C0AB8">
      <w:pPr>
        <w:rPr>
          <w:color w:val="000000" w:themeColor="text1"/>
        </w:rPr>
      </w:pPr>
      <w:r w:rsidRPr="00E3618B">
        <w:rPr>
          <w:color w:val="000000" w:themeColor="text1"/>
        </w:rPr>
        <w:t>2</w:t>
      </w:r>
      <w:r w:rsidRPr="00E3618B">
        <w:rPr>
          <w:color w:val="000000" w:themeColor="text1"/>
        </w:rPr>
        <w:tab/>
        <w:t xml:space="preserve">From 1 January 2032, and at intervals to be agreed thereafter, the </w:t>
      </w:r>
      <w:r>
        <w:rPr>
          <w:color w:val="000000" w:themeColor="text1"/>
        </w:rPr>
        <w:t xml:space="preserve">GHG </w:t>
      </w:r>
      <w:r w:rsidRPr="00E3618B">
        <w:rPr>
          <w:color w:val="000000" w:themeColor="text1"/>
        </w:rPr>
        <w:t>Surcharge Fee which shall be due if the ship is unable to comply with regulation 3</w:t>
      </w:r>
      <w:r>
        <w:rPr>
          <w:color w:val="000000" w:themeColor="text1"/>
        </w:rPr>
        <w:t>5</w:t>
      </w:r>
      <w:r w:rsidRPr="00E3618B">
        <w:rPr>
          <w:color w:val="000000" w:themeColor="text1"/>
        </w:rPr>
        <w:t xml:space="preserve"> of this Annex shall be based on the GHG Fuel Intensity (Required GFI) determined following the review required by regulation 3</w:t>
      </w:r>
      <w:r>
        <w:rPr>
          <w:color w:val="000000" w:themeColor="text1"/>
        </w:rPr>
        <w:t>5</w:t>
      </w:r>
      <w:r w:rsidRPr="00E3618B">
        <w:rPr>
          <w:color w:val="000000" w:themeColor="text1"/>
        </w:rPr>
        <w:t>.4 of this Annex.</w:t>
      </w:r>
    </w:p>
    <w:p w14:paraId="20457A22" w14:textId="77777777" w:rsidR="0089063E" w:rsidRDefault="0089063E" w:rsidP="008C0AB8">
      <w:pPr>
        <w:rPr>
          <w:rFonts w:cs="Arial"/>
          <w:b/>
          <w:bCs/>
          <w:i/>
          <w:iCs/>
          <w:szCs w:val="22"/>
        </w:rPr>
      </w:pPr>
    </w:p>
    <w:p w14:paraId="11FAFD39" w14:textId="2F3F08E8" w:rsidR="008C0AB8" w:rsidRPr="003B681A" w:rsidRDefault="008C0AB8" w:rsidP="008C0AB8">
      <w:pPr>
        <w:rPr>
          <w:color w:val="000000" w:themeColor="text1"/>
        </w:rPr>
      </w:pPr>
      <w:r w:rsidRPr="007100F6">
        <w:rPr>
          <w:rFonts w:cs="Arial"/>
          <w:b/>
          <w:bCs/>
          <w:i/>
          <w:iCs/>
          <w:szCs w:val="22"/>
        </w:rPr>
        <w:lastRenderedPageBreak/>
        <w:t>[.10.4</w:t>
      </w:r>
      <w:r w:rsidRPr="007100F6">
        <w:rPr>
          <w:rFonts w:cs="Arial"/>
          <w:b/>
          <w:bCs/>
          <w:i/>
          <w:iCs/>
          <w:szCs w:val="22"/>
        </w:rPr>
        <w:tab/>
        <w:t>Flexible compliance mechanism(s) (regulation X)]</w:t>
      </w:r>
    </w:p>
    <w:p w14:paraId="64D13C03" w14:textId="77777777" w:rsidR="008C0AB8" w:rsidRPr="007100F6" w:rsidRDefault="008C0AB8" w:rsidP="008C0AB8">
      <w:pPr>
        <w:rPr>
          <w:rFonts w:cs="Arial"/>
          <w:b/>
          <w:bCs/>
          <w:i/>
          <w:iCs/>
          <w:szCs w:val="22"/>
        </w:rPr>
      </w:pPr>
    </w:p>
    <w:p w14:paraId="4F820161" w14:textId="4D027D5D"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37</w:t>
      </w:r>
    </w:p>
    <w:p w14:paraId="497BCFE3"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Energy pooling compliance mechanism for ships</w:t>
      </w:r>
    </w:p>
    <w:p w14:paraId="2DE315A7" w14:textId="77777777" w:rsidR="008C0AB8" w:rsidRPr="00E3618B" w:rsidRDefault="008C0AB8" w:rsidP="008C0AB8">
      <w:pPr>
        <w:rPr>
          <w:rFonts w:cs="Arial"/>
          <w:color w:val="000000" w:themeColor="text1"/>
          <w:szCs w:val="22"/>
        </w:rPr>
      </w:pPr>
    </w:p>
    <w:p w14:paraId="7BC26781"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For applicable ships, the Administration may approve the use, by a ship, of an energy pooling mechanism to demonstrate compliance with regulation 3</w:t>
      </w:r>
      <w:r>
        <w:rPr>
          <w:rFonts w:cs="Arial"/>
          <w:color w:val="000000" w:themeColor="text1"/>
          <w:szCs w:val="22"/>
        </w:rPr>
        <w:t>5</w:t>
      </w:r>
      <w:r w:rsidRPr="00E3618B">
        <w:rPr>
          <w:rFonts w:cs="Arial"/>
          <w:color w:val="000000" w:themeColor="text1"/>
          <w:szCs w:val="22"/>
        </w:rPr>
        <w:t xml:space="preserve"> of this Annex</w:t>
      </w:r>
      <w:r w:rsidRPr="00E3618B">
        <w:rPr>
          <w:rFonts w:cs="Arial"/>
          <w:color w:val="000000" w:themeColor="text1"/>
          <w:szCs w:val="22"/>
          <w:vertAlign w:val="superscript"/>
        </w:rPr>
        <w:footnoteReference w:id="12"/>
      </w:r>
      <w:r w:rsidRPr="00E3618B">
        <w:rPr>
          <w:rFonts w:cs="Arial"/>
          <w:color w:val="000000" w:themeColor="text1"/>
          <w:szCs w:val="22"/>
        </w:rPr>
        <w:t>. Each ship in the energy pooling compliance mechanism shall be issued with a Pooled Energy Intensity Compliance Certificate (PEICC)</w:t>
      </w:r>
      <w:r w:rsidRPr="00E3618B">
        <w:rPr>
          <w:rFonts w:cs="Arial"/>
          <w:color w:val="000000" w:themeColor="text1"/>
          <w:szCs w:val="22"/>
          <w:vertAlign w:val="superscript"/>
        </w:rPr>
        <w:footnoteReference w:id="13"/>
      </w:r>
      <w:r w:rsidRPr="00E3618B">
        <w:rPr>
          <w:rFonts w:cs="Arial"/>
          <w:color w:val="000000" w:themeColor="text1"/>
          <w:szCs w:val="22"/>
        </w:rPr>
        <w:t xml:space="preserve"> either by the Administration or any organization duly authorized by it.</w:t>
      </w:r>
    </w:p>
    <w:p w14:paraId="6C09B6C6" w14:textId="77777777" w:rsidR="008C0AB8" w:rsidRPr="00E3618B" w:rsidRDefault="008C0AB8" w:rsidP="008C0AB8">
      <w:pPr>
        <w:rPr>
          <w:rFonts w:cs="Arial"/>
          <w:color w:val="000000" w:themeColor="text1"/>
          <w:szCs w:val="22"/>
        </w:rPr>
      </w:pPr>
    </w:p>
    <w:p w14:paraId="4BB5ADF5" w14:textId="4E77190C" w:rsidR="008C0AB8" w:rsidRPr="00E3618B" w:rsidRDefault="008C0AB8" w:rsidP="008C0AB8">
      <w:pPr>
        <w:rPr>
          <w:rFonts w:cs="Arial"/>
          <w:color w:val="000000" w:themeColor="text1"/>
          <w:szCs w:val="22"/>
        </w:rPr>
      </w:pPr>
      <w:r w:rsidRPr="00E3618B">
        <w:rPr>
          <w:rFonts w:cs="Arial"/>
          <w:color w:val="000000" w:themeColor="text1"/>
          <w:szCs w:val="22"/>
        </w:rPr>
        <w:t>2</w:t>
      </w:r>
      <w:r w:rsidRPr="00E3618B">
        <w:rPr>
          <w:rFonts w:cs="Arial"/>
          <w:color w:val="000000" w:themeColor="text1"/>
          <w:szCs w:val="22"/>
        </w:rPr>
        <w:tab/>
        <w:t>Each ship in an approved energy pooling compliance mechanism that has an Attained GFI superior to the Required GFI, as set out under regulation 3</w:t>
      </w:r>
      <w:r w:rsidR="00AC5083">
        <w:rPr>
          <w:rFonts w:cs="Arial"/>
          <w:color w:val="000000" w:themeColor="text1"/>
          <w:szCs w:val="22"/>
        </w:rPr>
        <w:t>5</w:t>
      </w:r>
      <w:r w:rsidRPr="00E3618B">
        <w:rPr>
          <w:rFonts w:cs="Arial"/>
          <w:color w:val="000000" w:themeColor="text1"/>
          <w:szCs w:val="22"/>
        </w:rPr>
        <w:t xml:space="preserve"> of this Annex, may allocate the verified excess GFI</w:t>
      </w:r>
      <w:r w:rsidRPr="00E3618B">
        <w:rPr>
          <w:rFonts w:cs="Arial"/>
          <w:i/>
          <w:iCs/>
          <w:color w:val="000000" w:themeColor="text1"/>
          <w:szCs w:val="22"/>
        </w:rPr>
        <w:t xml:space="preserve"> </w:t>
      </w:r>
      <w:r w:rsidRPr="00E3618B">
        <w:rPr>
          <w:rFonts w:cs="Arial"/>
          <w:color w:val="000000" w:themeColor="text1"/>
          <w:szCs w:val="22"/>
        </w:rPr>
        <w:t>to the energy pooling compliance mechanism, taking into account the guidelines developed by the Organization</w:t>
      </w:r>
      <w:r w:rsidRPr="00E3618B">
        <w:rPr>
          <w:rFonts w:cs="Arial"/>
          <w:color w:val="000000" w:themeColor="text1"/>
          <w:szCs w:val="22"/>
          <w:vertAlign w:val="superscript"/>
        </w:rPr>
        <w:footnoteReference w:id="14"/>
      </w:r>
      <w:r w:rsidRPr="00E3618B">
        <w:rPr>
          <w:rFonts w:cs="Arial"/>
          <w:color w:val="000000" w:themeColor="text1"/>
          <w:szCs w:val="22"/>
        </w:rPr>
        <w:t>.</w:t>
      </w:r>
    </w:p>
    <w:p w14:paraId="13DF7CBA" w14:textId="77777777" w:rsidR="008C0AB8" w:rsidRPr="00E3618B" w:rsidRDefault="008C0AB8" w:rsidP="008C0AB8">
      <w:pPr>
        <w:rPr>
          <w:rFonts w:cs="Arial"/>
          <w:color w:val="000000" w:themeColor="text1"/>
          <w:szCs w:val="22"/>
        </w:rPr>
      </w:pPr>
    </w:p>
    <w:p w14:paraId="7FC0B48C" w14:textId="77777777" w:rsidR="008C0AB8" w:rsidRPr="00E3618B" w:rsidRDefault="008C0AB8" w:rsidP="008C0AB8">
      <w:pPr>
        <w:rPr>
          <w:rFonts w:cs="Arial"/>
          <w:color w:val="000000" w:themeColor="text1"/>
          <w:szCs w:val="22"/>
        </w:rPr>
      </w:pPr>
      <w:r w:rsidRPr="00E3618B">
        <w:rPr>
          <w:rFonts w:cs="Arial"/>
          <w:color w:val="000000" w:themeColor="text1"/>
          <w:szCs w:val="22"/>
        </w:rPr>
        <w:t>3</w:t>
      </w:r>
      <w:r w:rsidRPr="00E3618B">
        <w:rPr>
          <w:rFonts w:cs="Arial"/>
          <w:color w:val="000000" w:themeColor="text1"/>
          <w:szCs w:val="22"/>
        </w:rPr>
        <w:tab/>
        <w:t>The verified excess GFI of a ship participating in an approved energy pooling compliance mechanism can be used by a ship in the same energy pooling compliance mechanism to comply with regulation 3</w:t>
      </w:r>
      <w:r>
        <w:rPr>
          <w:rFonts w:cs="Arial"/>
          <w:color w:val="000000" w:themeColor="text1"/>
          <w:szCs w:val="22"/>
        </w:rPr>
        <w:t>5</w:t>
      </w:r>
      <w:r w:rsidRPr="00E3618B">
        <w:rPr>
          <w:rFonts w:cs="Arial"/>
          <w:color w:val="000000" w:themeColor="text1"/>
          <w:szCs w:val="22"/>
        </w:rPr>
        <w:t xml:space="preserve"> of this Annex, provided that the Attained GFI</w:t>
      </w:r>
      <w:r w:rsidRPr="00E3618B">
        <w:rPr>
          <w:rStyle w:val="FootnoteReference"/>
          <w:rFonts w:cs="Arial"/>
          <w:color w:val="000000" w:themeColor="text1"/>
          <w:szCs w:val="22"/>
        </w:rPr>
        <w:footnoteReference w:id="15"/>
      </w:r>
      <w:r w:rsidRPr="00E3618B">
        <w:rPr>
          <w:rFonts w:cs="Arial"/>
          <w:color w:val="000000" w:themeColor="text1"/>
          <w:szCs w:val="22"/>
        </w:rPr>
        <w:t xml:space="preserve"> of each ship participating in the same energy pooling mechanism shall comply with the required GFI as set out in regulation 3</w:t>
      </w:r>
      <w:r>
        <w:rPr>
          <w:rFonts w:cs="Arial"/>
          <w:color w:val="000000" w:themeColor="text1"/>
          <w:szCs w:val="22"/>
        </w:rPr>
        <w:t>5</w:t>
      </w:r>
      <w:r w:rsidRPr="00E3618B">
        <w:rPr>
          <w:rFonts w:cs="Arial"/>
          <w:color w:val="000000" w:themeColor="text1"/>
          <w:szCs w:val="22"/>
        </w:rPr>
        <w:t xml:space="preserve"> of this Annex.</w:t>
      </w:r>
    </w:p>
    <w:p w14:paraId="1EDB5BEB" w14:textId="77777777" w:rsidR="008C0AB8" w:rsidRPr="00E3618B" w:rsidRDefault="008C0AB8" w:rsidP="008C0AB8">
      <w:pPr>
        <w:rPr>
          <w:rFonts w:cs="Arial"/>
          <w:color w:val="000000" w:themeColor="text1"/>
          <w:szCs w:val="22"/>
        </w:rPr>
      </w:pPr>
    </w:p>
    <w:p w14:paraId="6061FFFD" w14:textId="77777777" w:rsidR="008C0AB8" w:rsidRPr="00E3618B" w:rsidRDefault="008C0AB8" w:rsidP="008C0AB8">
      <w:pPr>
        <w:rPr>
          <w:rFonts w:cs="Arial"/>
          <w:i/>
          <w:iCs/>
          <w:color w:val="000000" w:themeColor="text1"/>
          <w:szCs w:val="22"/>
        </w:rPr>
      </w:pPr>
      <w:r w:rsidRPr="00E3618B">
        <w:rPr>
          <w:rFonts w:cs="Arial"/>
          <w:color w:val="000000" w:themeColor="text1"/>
          <w:szCs w:val="22"/>
        </w:rPr>
        <w:t>4</w:t>
      </w:r>
      <w:r w:rsidRPr="00E3618B">
        <w:rPr>
          <w:rFonts w:cs="Arial"/>
          <w:color w:val="000000" w:themeColor="text1"/>
          <w:szCs w:val="22"/>
        </w:rPr>
        <w:tab/>
      </w:r>
      <w:r w:rsidRPr="00E3618B">
        <w:rPr>
          <w:color w:val="000000" w:themeColor="text1"/>
        </w:rPr>
        <w:t>The Attained GFI of a ship participating in an approved energy pooling compliance mechanism shall be the arithmetic mean GFI of the ships participating in the pool, over the period the ship is a member of the same energy pooled compliance mechanism.</w:t>
      </w:r>
    </w:p>
    <w:p w14:paraId="2AA680E7" w14:textId="77777777" w:rsidR="008C0AB8" w:rsidRPr="00E3618B" w:rsidRDefault="008C0AB8" w:rsidP="008C0AB8">
      <w:pPr>
        <w:rPr>
          <w:rFonts w:cs="Arial"/>
          <w:i/>
          <w:iCs/>
          <w:color w:val="000000" w:themeColor="text1"/>
          <w:szCs w:val="22"/>
        </w:rPr>
      </w:pPr>
    </w:p>
    <w:p w14:paraId="50ABD849" w14:textId="77777777" w:rsidR="008C0AB8" w:rsidRPr="00E3618B" w:rsidRDefault="008C0AB8" w:rsidP="008C0AB8">
      <w:pPr>
        <w:rPr>
          <w:rFonts w:cs="Arial"/>
          <w:color w:val="000000" w:themeColor="text1"/>
          <w:szCs w:val="22"/>
        </w:rPr>
      </w:pPr>
      <w:r w:rsidRPr="00E3618B">
        <w:rPr>
          <w:rFonts w:cs="Arial"/>
          <w:color w:val="000000" w:themeColor="text1"/>
          <w:szCs w:val="22"/>
        </w:rPr>
        <w:t>5</w:t>
      </w:r>
      <w:r w:rsidRPr="00E3618B">
        <w:rPr>
          <w:rFonts w:cs="Arial"/>
          <w:color w:val="000000" w:themeColor="text1"/>
          <w:szCs w:val="22"/>
        </w:rPr>
        <w:tab/>
        <w:t>The Attained GFI of each ship participating in an approved energy pooling compliance mechanism shall be verified by the ship’s Administration or any organization duly authorized by it,</w:t>
      </w:r>
      <w:r w:rsidRPr="00E3618B">
        <w:rPr>
          <w:rFonts w:cs="Arial"/>
          <w:color w:val="000000" w:themeColor="text1"/>
          <w:szCs w:val="22"/>
          <w:vertAlign w:val="superscript"/>
        </w:rPr>
        <w:t xml:space="preserve"> </w:t>
      </w:r>
      <w:r w:rsidRPr="00E3618B">
        <w:rPr>
          <w:rFonts w:cs="Arial"/>
          <w:color w:val="000000" w:themeColor="text1"/>
          <w:szCs w:val="22"/>
        </w:rPr>
        <w:t>and included on the PEICC issued by the Administration or any organization duly authorized by it.</w:t>
      </w:r>
    </w:p>
    <w:p w14:paraId="6B955577" w14:textId="77777777" w:rsidR="008C0AB8" w:rsidRPr="00E3618B" w:rsidRDefault="008C0AB8" w:rsidP="008C0AB8">
      <w:pPr>
        <w:rPr>
          <w:rFonts w:cs="Arial"/>
          <w:i/>
          <w:iCs/>
          <w:color w:val="000000" w:themeColor="text1"/>
          <w:szCs w:val="22"/>
        </w:rPr>
      </w:pPr>
    </w:p>
    <w:p w14:paraId="672CD50E" w14:textId="77777777" w:rsidR="00D05244" w:rsidRDefault="008C0AB8" w:rsidP="008C0AB8">
      <w:pPr>
        <w:rPr>
          <w:rFonts w:cs="Arial"/>
          <w:color w:val="000000" w:themeColor="text1"/>
          <w:szCs w:val="22"/>
        </w:rPr>
      </w:pPr>
      <w:r w:rsidRPr="00E3618B">
        <w:rPr>
          <w:rFonts w:cs="Arial"/>
          <w:color w:val="000000" w:themeColor="text1"/>
          <w:szCs w:val="22"/>
        </w:rPr>
        <w:t>6</w:t>
      </w:r>
      <w:r w:rsidRPr="00E3618B">
        <w:rPr>
          <w:rFonts w:cs="Arial"/>
          <w:color w:val="000000" w:themeColor="text1"/>
          <w:szCs w:val="22"/>
        </w:rPr>
        <w:tab/>
        <w:t>An approved energy pooling compliance mechanism may include ships of more than one Administration provided that the Administration of any ship participating in the pool has approved the energy pooling compliance mechanism and issued the ship with a PEICC.</w:t>
      </w:r>
    </w:p>
    <w:p w14:paraId="5AFC941D" w14:textId="43A68AEF" w:rsidR="008C0AB8" w:rsidRPr="00E3618B" w:rsidRDefault="008C0AB8" w:rsidP="008C0AB8">
      <w:pPr>
        <w:rPr>
          <w:rFonts w:cs="Arial"/>
          <w:b/>
          <w:bCs/>
          <w:color w:val="000000" w:themeColor="text1"/>
          <w:szCs w:val="22"/>
        </w:rPr>
      </w:pPr>
      <w:r w:rsidRPr="00E3618B">
        <w:rPr>
          <w:rFonts w:cs="Arial"/>
          <w:color w:val="000000" w:themeColor="text1"/>
          <w:szCs w:val="22"/>
        </w:rPr>
        <w:t xml:space="preserve"> </w:t>
      </w:r>
    </w:p>
    <w:p w14:paraId="56CA2AF9" w14:textId="77777777" w:rsidR="008C0AB8" w:rsidRDefault="008C0AB8" w:rsidP="008C0AB8">
      <w:pPr>
        <w:rPr>
          <w:rFonts w:cs="Arial"/>
          <w:color w:val="000000" w:themeColor="text1"/>
          <w:szCs w:val="22"/>
        </w:rPr>
      </w:pPr>
      <w:r w:rsidRPr="00E3618B">
        <w:rPr>
          <w:rFonts w:cs="Arial"/>
          <w:color w:val="000000" w:themeColor="text1"/>
          <w:szCs w:val="22"/>
        </w:rPr>
        <w:t>7</w:t>
      </w:r>
      <w:r w:rsidRPr="00E3618B">
        <w:rPr>
          <w:rFonts w:cs="Arial"/>
          <w:color w:val="000000" w:themeColor="text1"/>
          <w:szCs w:val="22"/>
        </w:rPr>
        <w:tab/>
        <w:t>Each Administration that allows the use of an energy pooling compliance mechanism as set forth in paragraph 1 of this regulation shall communicate to the Organization for circulation to the Parties particulars thereof, for their information and appropriate action, if any.</w:t>
      </w:r>
    </w:p>
    <w:p w14:paraId="53786F4B" w14:textId="77777777" w:rsidR="00744940" w:rsidRDefault="00744940" w:rsidP="008C0AB8">
      <w:pPr>
        <w:rPr>
          <w:rFonts w:cs="Arial"/>
          <w:color w:val="000000" w:themeColor="text1"/>
          <w:szCs w:val="22"/>
        </w:rPr>
      </w:pPr>
    </w:p>
    <w:p w14:paraId="11B2DA9B" w14:textId="77777777" w:rsidR="00057DE4" w:rsidRDefault="00057DE4" w:rsidP="008C0AB8">
      <w:pPr>
        <w:tabs>
          <w:tab w:val="clear" w:pos="851"/>
          <w:tab w:val="left" w:pos="567"/>
        </w:tabs>
        <w:rPr>
          <w:rFonts w:cs="Arial"/>
          <w:b/>
          <w:bCs/>
          <w:i/>
          <w:iCs/>
          <w:szCs w:val="22"/>
        </w:rPr>
      </w:pPr>
    </w:p>
    <w:p w14:paraId="6506F9B2" w14:textId="77777777" w:rsidR="00057DE4" w:rsidRDefault="00057DE4" w:rsidP="008C0AB8">
      <w:pPr>
        <w:tabs>
          <w:tab w:val="clear" w:pos="851"/>
          <w:tab w:val="left" w:pos="567"/>
        </w:tabs>
        <w:rPr>
          <w:rFonts w:cs="Arial"/>
          <w:b/>
          <w:bCs/>
          <w:i/>
          <w:iCs/>
          <w:szCs w:val="22"/>
        </w:rPr>
      </w:pPr>
    </w:p>
    <w:p w14:paraId="17F5DB49" w14:textId="77777777" w:rsidR="00057DE4" w:rsidRDefault="00057DE4" w:rsidP="008C0AB8">
      <w:pPr>
        <w:tabs>
          <w:tab w:val="clear" w:pos="851"/>
          <w:tab w:val="left" w:pos="567"/>
        </w:tabs>
        <w:rPr>
          <w:rFonts w:cs="Arial"/>
          <w:b/>
          <w:bCs/>
          <w:i/>
          <w:iCs/>
          <w:szCs w:val="22"/>
        </w:rPr>
      </w:pPr>
    </w:p>
    <w:p w14:paraId="2DBE8648" w14:textId="77777777" w:rsidR="00057DE4" w:rsidRDefault="00057DE4" w:rsidP="008C0AB8">
      <w:pPr>
        <w:tabs>
          <w:tab w:val="clear" w:pos="851"/>
          <w:tab w:val="left" w:pos="567"/>
        </w:tabs>
        <w:rPr>
          <w:rFonts w:cs="Arial"/>
          <w:b/>
          <w:bCs/>
          <w:i/>
          <w:iCs/>
          <w:szCs w:val="22"/>
        </w:rPr>
      </w:pPr>
    </w:p>
    <w:p w14:paraId="5D6981FC" w14:textId="4DEA39F7" w:rsidR="008C0AB8" w:rsidRPr="00A320E0" w:rsidRDefault="008C0AB8" w:rsidP="008C0AB8">
      <w:pPr>
        <w:tabs>
          <w:tab w:val="clear" w:pos="851"/>
          <w:tab w:val="left" w:pos="567"/>
        </w:tabs>
        <w:rPr>
          <w:rFonts w:cs="Arial"/>
          <w:b/>
          <w:bCs/>
          <w:i/>
          <w:iCs/>
          <w:szCs w:val="22"/>
        </w:rPr>
      </w:pPr>
      <w:r w:rsidRPr="00A320E0">
        <w:rPr>
          <w:rFonts w:cs="Arial"/>
          <w:b/>
          <w:bCs/>
          <w:i/>
          <w:iCs/>
          <w:szCs w:val="22"/>
        </w:rPr>
        <w:lastRenderedPageBreak/>
        <w:t>[.10</w:t>
      </w:r>
      <w:r w:rsidRPr="00A320E0">
        <w:rPr>
          <w:rFonts w:cs="Arial"/>
          <w:b/>
          <w:bCs/>
          <w:i/>
          <w:iCs/>
          <w:szCs w:val="22"/>
        </w:rPr>
        <w:tab/>
        <w:t>New Chapter 5.2: Economic mechanism(s) to incentivise the transition to net-zero]</w:t>
      </w:r>
    </w:p>
    <w:p w14:paraId="33AC8540" w14:textId="77777777" w:rsidR="008C0AB8" w:rsidRPr="00A320E0" w:rsidRDefault="008C0AB8" w:rsidP="008C0AB8">
      <w:pPr>
        <w:rPr>
          <w:rFonts w:cs="Arial"/>
          <w:b/>
          <w:bCs/>
          <w:i/>
          <w:iCs/>
          <w:szCs w:val="22"/>
        </w:rPr>
      </w:pPr>
    </w:p>
    <w:p w14:paraId="7C80C6E2" w14:textId="77777777" w:rsidR="008C0AB8" w:rsidRPr="008F003F" w:rsidRDefault="008C0AB8" w:rsidP="008C0AB8">
      <w:pPr>
        <w:rPr>
          <w:rFonts w:cs="Arial"/>
          <w:b/>
          <w:bCs/>
          <w:i/>
          <w:iCs/>
          <w:szCs w:val="22"/>
        </w:rPr>
      </w:pPr>
      <w:r w:rsidRPr="00A320E0">
        <w:rPr>
          <w:rFonts w:cs="Arial"/>
          <w:b/>
          <w:bCs/>
          <w:i/>
          <w:iCs/>
          <w:szCs w:val="22"/>
        </w:rPr>
        <w:t>[.10.1</w:t>
      </w:r>
      <w:r w:rsidRPr="00A320E0">
        <w:rPr>
          <w:rFonts w:cs="Arial"/>
          <w:b/>
          <w:bCs/>
          <w:i/>
          <w:iCs/>
          <w:szCs w:val="22"/>
        </w:rPr>
        <w:tab/>
        <w:t>Application (regulation X)</w:t>
      </w:r>
      <w:r>
        <w:rPr>
          <w:rFonts w:cs="Arial"/>
          <w:b/>
          <w:bCs/>
          <w:i/>
          <w:iCs/>
          <w:szCs w:val="22"/>
        </w:rPr>
        <w:t xml:space="preserve"> – not included as t</w:t>
      </w:r>
      <w:r w:rsidRPr="008F003F">
        <w:rPr>
          <w:rFonts w:cs="Arial"/>
          <w:b/>
          <w:bCs/>
          <w:i/>
          <w:iCs/>
          <w:szCs w:val="22"/>
        </w:rPr>
        <w:t xml:space="preserve">he co-sponsors do not </w:t>
      </w:r>
      <w:r>
        <w:rPr>
          <w:rFonts w:cs="Arial"/>
          <w:b/>
          <w:bCs/>
          <w:i/>
          <w:iCs/>
          <w:szCs w:val="22"/>
        </w:rPr>
        <w:t xml:space="preserve">propose </w:t>
      </w:r>
      <w:r w:rsidRPr="008F003F">
        <w:rPr>
          <w:rFonts w:cs="Arial"/>
          <w:b/>
          <w:bCs/>
          <w:i/>
          <w:iCs/>
          <w:szCs w:val="22"/>
        </w:rPr>
        <w:t>di</w:t>
      </w:r>
      <w:r>
        <w:rPr>
          <w:rFonts w:cs="Arial"/>
          <w:b/>
          <w:bCs/>
          <w:i/>
          <w:iCs/>
          <w:szCs w:val="22"/>
        </w:rPr>
        <w:t>viding</w:t>
      </w:r>
      <w:r w:rsidRPr="008F003F">
        <w:rPr>
          <w:rFonts w:cs="Arial"/>
          <w:b/>
          <w:bCs/>
          <w:i/>
          <w:iCs/>
          <w:szCs w:val="22"/>
        </w:rPr>
        <w:t xml:space="preserve"> this Chapter into sections 5.1 and 5.2, and the application with respect to both the fuel standard and the GHG emissions pricing mechanism is addressed by regulation 32 above.]  </w:t>
      </w:r>
    </w:p>
    <w:p w14:paraId="735AB5BF" w14:textId="77777777" w:rsidR="008C0AB8" w:rsidRPr="008F003F" w:rsidRDefault="008C0AB8" w:rsidP="008C0AB8">
      <w:pPr>
        <w:rPr>
          <w:rFonts w:cs="Arial"/>
          <w:b/>
          <w:bCs/>
          <w:i/>
          <w:iCs/>
          <w:szCs w:val="22"/>
        </w:rPr>
      </w:pPr>
    </w:p>
    <w:p w14:paraId="79FB6515" w14:textId="77777777" w:rsidR="008C0AB8" w:rsidRPr="00E16D02" w:rsidRDefault="008C0AB8" w:rsidP="008C0AB8">
      <w:pPr>
        <w:rPr>
          <w:rFonts w:cs="Arial"/>
          <w:b/>
          <w:bCs/>
          <w:i/>
          <w:iCs/>
          <w:color w:val="000000" w:themeColor="text1"/>
          <w:szCs w:val="22"/>
        </w:rPr>
      </w:pPr>
      <w:r w:rsidRPr="00E16D02">
        <w:rPr>
          <w:rFonts w:cs="Arial"/>
          <w:b/>
          <w:bCs/>
          <w:i/>
          <w:iCs/>
          <w:color w:val="000000" w:themeColor="text1"/>
          <w:szCs w:val="22"/>
        </w:rPr>
        <w:t>[NB</w:t>
      </w:r>
      <w:r>
        <w:rPr>
          <w:rFonts w:cs="Arial"/>
          <w:b/>
          <w:bCs/>
          <w:i/>
          <w:iCs/>
          <w:color w:val="000000" w:themeColor="text1"/>
          <w:szCs w:val="22"/>
        </w:rPr>
        <w:t>:</w:t>
      </w:r>
      <w:r w:rsidRPr="00E16D02">
        <w:rPr>
          <w:rFonts w:cs="Arial"/>
          <w:b/>
          <w:bCs/>
          <w:i/>
          <w:iCs/>
          <w:color w:val="000000" w:themeColor="text1"/>
          <w:szCs w:val="22"/>
        </w:rPr>
        <w:t xml:space="preserve"> Regulation 38 below is not covered by the headings in the MEPC 81 template</w:t>
      </w:r>
      <w:r>
        <w:rPr>
          <w:rFonts w:cs="Arial"/>
          <w:b/>
          <w:bCs/>
          <w:i/>
          <w:iCs/>
          <w:color w:val="000000" w:themeColor="text1"/>
          <w:szCs w:val="22"/>
        </w:rPr>
        <w:t>.</w:t>
      </w:r>
      <w:r w:rsidRPr="00E16D02">
        <w:rPr>
          <w:rFonts w:cs="Arial"/>
          <w:b/>
          <w:bCs/>
          <w:i/>
          <w:iCs/>
          <w:color w:val="000000" w:themeColor="text1"/>
          <w:szCs w:val="22"/>
        </w:rPr>
        <w:t>]</w:t>
      </w:r>
    </w:p>
    <w:p w14:paraId="3C61CAD8" w14:textId="77777777" w:rsidR="008C0AB8" w:rsidRPr="00E3618B" w:rsidRDefault="008C0AB8" w:rsidP="008C0AB8">
      <w:pPr>
        <w:rPr>
          <w:rFonts w:cs="Arial"/>
          <w:b/>
          <w:bCs/>
          <w:color w:val="000000" w:themeColor="text1"/>
          <w:szCs w:val="22"/>
        </w:rPr>
      </w:pPr>
    </w:p>
    <w:p w14:paraId="002D2C7B" w14:textId="5EA40E2C" w:rsidR="008C0AB8" w:rsidRDefault="008C0AB8" w:rsidP="008C0AB8">
      <w:pPr>
        <w:rPr>
          <w:rFonts w:cs="Arial"/>
          <w:i/>
          <w:iCs/>
          <w:color w:val="000000" w:themeColor="text1"/>
          <w:szCs w:val="22"/>
        </w:rPr>
      </w:pPr>
      <w:r w:rsidRPr="00AA7410">
        <w:rPr>
          <w:rFonts w:cs="Arial"/>
          <w:b/>
          <w:bCs/>
          <w:color w:val="000000" w:themeColor="text1"/>
          <w:szCs w:val="22"/>
        </w:rPr>
        <w:t>Regulation 38</w:t>
      </w:r>
    </w:p>
    <w:p w14:paraId="60101F35" w14:textId="3FF8D6CE" w:rsidR="008C0AB8" w:rsidRPr="00E3618B" w:rsidRDefault="008C0AB8" w:rsidP="008C0AB8">
      <w:pPr>
        <w:rPr>
          <w:rFonts w:cs="Arial"/>
          <w:i/>
          <w:iCs/>
          <w:color w:val="000000" w:themeColor="text1"/>
          <w:szCs w:val="22"/>
        </w:rPr>
      </w:pPr>
      <w:r w:rsidRPr="00E3618B">
        <w:rPr>
          <w:rFonts w:cs="Arial"/>
          <w:i/>
          <w:iCs/>
          <w:color w:val="000000" w:themeColor="text1"/>
          <w:szCs w:val="22"/>
        </w:rPr>
        <w:t xml:space="preserve">Maritime GHG </w:t>
      </w:r>
      <w:r w:rsidR="00286896">
        <w:rPr>
          <w:rFonts w:cs="Arial"/>
          <w:i/>
          <w:iCs/>
          <w:color w:val="000000" w:themeColor="text1"/>
          <w:szCs w:val="22"/>
        </w:rPr>
        <w:t>e</w:t>
      </w:r>
      <w:r w:rsidR="00286896" w:rsidRPr="00E3618B">
        <w:rPr>
          <w:rFonts w:cs="Arial"/>
          <w:i/>
          <w:iCs/>
          <w:color w:val="000000" w:themeColor="text1"/>
          <w:szCs w:val="22"/>
        </w:rPr>
        <w:t xml:space="preserve">missions </w:t>
      </w:r>
      <w:r w:rsidR="00286896">
        <w:rPr>
          <w:rFonts w:cs="Arial"/>
          <w:i/>
          <w:iCs/>
          <w:color w:val="000000" w:themeColor="text1"/>
          <w:szCs w:val="22"/>
        </w:rPr>
        <w:t>p</w:t>
      </w:r>
      <w:r w:rsidR="00286896" w:rsidRPr="00E3618B">
        <w:rPr>
          <w:rFonts w:cs="Arial"/>
          <w:i/>
          <w:iCs/>
          <w:color w:val="000000" w:themeColor="text1"/>
          <w:szCs w:val="22"/>
        </w:rPr>
        <w:t xml:space="preserve">ricing </w:t>
      </w:r>
      <w:r w:rsidR="00286896">
        <w:rPr>
          <w:rFonts w:cs="Arial"/>
          <w:i/>
          <w:iCs/>
          <w:color w:val="000000" w:themeColor="text1"/>
          <w:szCs w:val="22"/>
        </w:rPr>
        <w:t>m</w:t>
      </w:r>
      <w:r w:rsidR="00286896" w:rsidRPr="00E3618B">
        <w:rPr>
          <w:rFonts w:cs="Arial"/>
          <w:i/>
          <w:iCs/>
          <w:color w:val="000000" w:themeColor="text1"/>
          <w:szCs w:val="22"/>
        </w:rPr>
        <w:t>echanism</w:t>
      </w:r>
    </w:p>
    <w:p w14:paraId="658A1AC1" w14:textId="77777777" w:rsidR="008C0AB8" w:rsidRPr="00E3618B" w:rsidRDefault="008C0AB8" w:rsidP="008C0AB8">
      <w:pPr>
        <w:rPr>
          <w:rFonts w:cs="Arial"/>
          <w:color w:val="000000" w:themeColor="text1"/>
          <w:szCs w:val="22"/>
        </w:rPr>
      </w:pPr>
    </w:p>
    <w:p w14:paraId="7E3158EB"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The Organization shall establish a maritime GHG emissions pricing mechanism (“the mechanism”) to be administered by the Organization, taking into account Guidelines adopted by the Organization,</w:t>
      </w:r>
      <w:r w:rsidRPr="00E3618B">
        <w:rPr>
          <w:rStyle w:val="FootnoteReference"/>
          <w:rFonts w:cs="Arial"/>
          <w:color w:val="000000" w:themeColor="text1"/>
          <w:szCs w:val="22"/>
        </w:rPr>
        <w:footnoteReference w:id="16"/>
      </w:r>
      <w:r w:rsidRPr="00E3618B">
        <w:rPr>
          <w:rFonts w:cs="Arial"/>
          <w:color w:val="000000" w:themeColor="text1"/>
          <w:szCs w:val="22"/>
        </w:rPr>
        <w:t xml:space="preserve"> to collect GHG fees from ships for the CO</w:t>
      </w:r>
      <w:r w:rsidRPr="00E3618B">
        <w:rPr>
          <w:rFonts w:cs="Arial"/>
          <w:color w:val="000000" w:themeColor="text1"/>
          <w:szCs w:val="22"/>
          <w:vertAlign w:val="subscript"/>
        </w:rPr>
        <w:t>2</w:t>
      </w:r>
      <w:r w:rsidRPr="00E3618B">
        <w:rPr>
          <w:rFonts w:cs="Arial"/>
          <w:color w:val="000000" w:themeColor="text1"/>
          <w:szCs w:val="22"/>
        </w:rPr>
        <w:t xml:space="preserve">e emitted during the previous calendar year as required by regulation </w:t>
      </w:r>
      <w:r>
        <w:rPr>
          <w:rFonts w:cs="Arial"/>
          <w:color w:val="000000" w:themeColor="text1"/>
          <w:szCs w:val="22"/>
        </w:rPr>
        <w:t>40</w:t>
      </w:r>
      <w:r w:rsidRPr="00E3618B">
        <w:rPr>
          <w:rFonts w:cs="Arial"/>
          <w:color w:val="000000" w:themeColor="text1"/>
          <w:szCs w:val="22"/>
        </w:rPr>
        <w:t xml:space="preserve"> of this Annex. </w:t>
      </w:r>
    </w:p>
    <w:p w14:paraId="462D2469" w14:textId="77777777" w:rsidR="008C0AB8" w:rsidRPr="00E3618B" w:rsidRDefault="008C0AB8" w:rsidP="008C0AB8">
      <w:pPr>
        <w:rPr>
          <w:rFonts w:cs="Arial"/>
          <w:color w:val="000000" w:themeColor="text1"/>
          <w:szCs w:val="22"/>
        </w:rPr>
      </w:pPr>
    </w:p>
    <w:p w14:paraId="4CDA9F7E" w14:textId="77777777" w:rsidR="008C0AB8" w:rsidRDefault="008C0AB8" w:rsidP="008C0AB8">
      <w:pPr>
        <w:pStyle w:val="FootnoteText"/>
        <w:tabs>
          <w:tab w:val="clear" w:pos="567"/>
        </w:tabs>
        <w:spacing w:after="60"/>
        <w:ind w:left="0" w:firstLine="0"/>
        <w:rPr>
          <w:color w:val="000000" w:themeColor="text1"/>
          <w:sz w:val="22"/>
          <w:szCs w:val="22"/>
        </w:rPr>
      </w:pPr>
      <w:r w:rsidRPr="00E3618B">
        <w:rPr>
          <w:rFonts w:cs="Arial"/>
          <w:color w:val="000000" w:themeColor="text1"/>
          <w:sz w:val="22"/>
          <w:szCs w:val="22"/>
        </w:rPr>
        <w:t>2</w:t>
      </w:r>
      <w:r w:rsidRPr="00E3618B">
        <w:rPr>
          <w:rFonts w:cs="Arial"/>
          <w:color w:val="000000" w:themeColor="text1"/>
          <w:sz w:val="22"/>
          <w:szCs w:val="22"/>
        </w:rPr>
        <w:tab/>
        <w:t xml:space="preserve">The mechanism shall </w:t>
      </w:r>
      <w:r w:rsidRPr="00E3618B">
        <w:rPr>
          <w:color w:val="000000" w:themeColor="text1"/>
          <w:sz w:val="22"/>
          <w:szCs w:val="22"/>
        </w:rPr>
        <w:t xml:space="preserve">establish an account for each ship to which this chapter applies, in accordance with the IMO ship identification scheme </w:t>
      </w:r>
      <w:r w:rsidRPr="00E3618B">
        <w:rPr>
          <w:color w:val="000000" w:themeColor="text1"/>
          <w:sz w:val="22"/>
          <w:szCs w:val="22"/>
          <w:lang w:eastAsia="ja-JP"/>
        </w:rPr>
        <w:t>(</w:t>
      </w:r>
      <w:r w:rsidRPr="00E3618B">
        <w:rPr>
          <w:color w:val="000000" w:themeColor="text1"/>
          <w:sz w:val="22"/>
          <w:szCs w:val="22"/>
        </w:rPr>
        <w:t>resolution A.1078(28)</w:t>
      </w:r>
      <w:r w:rsidRPr="00E3618B">
        <w:rPr>
          <w:color w:val="000000" w:themeColor="text1"/>
          <w:sz w:val="22"/>
          <w:szCs w:val="22"/>
          <w:lang w:eastAsia="ja-JP"/>
        </w:rPr>
        <w:t xml:space="preserve">), </w:t>
      </w:r>
      <w:r w:rsidRPr="00E3618B">
        <w:rPr>
          <w:color w:val="000000" w:themeColor="text1"/>
          <w:sz w:val="22"/>
          <w:szCs w:val="22"/>
        </w:rPr>
        <w:t>to which GHG fees can be submitted by the Company responsible for that ship as defined by paragraph 2.8 of regulation 2 of MARPOL Annex VI.</w:t>
      </w:r>
    </w:p>
    <w:p w14:paraId="085AE40B" w14:textId="77777777" w:rsidR="00CF7373" w:rsidRDefault="00CF7373" w:rsidP="008C0AB8">
      <w:pPr>
        <w:pStyle w:val="FootnoteText"/>
        <w:tabs>
          <w:tab w:val="clear" w:pos="567"/>
        </w:tabs>
        <w:spacing w:after="60"/>
        <w:ind w:left="0" w:firstLine="0"/>
        <w:rPr>
          <w:color w:val="000000" w:themeColor="text1"/>
          <w:sz w:val="22"/>
          <w:szCs w:val="22"/>
        </w:rPr>
      </w:pPr>
    </w:p>
    <w:p w14:paraId="5406061B" w14:textId="26C216DD" w:rsidR="00CF7373" w:rsidRPr="00E3618B" w:rsidRDefault="00533C82" w:rsidP="008C0AB8">
      <w:pPr>
        <w:pStyle w:val="FootnoteText"/>
        <w:tabs>
          <w:tab w:val="clear" w:pos="567"/>
        </w:tabs>
        <w:spacing w:after="60"/>
        <w:ind w:left="0" w:firstLine="0"/>
        <w:rPr>
          <w:color w:val="000000" w:themeColor="text1"/>
          <w:sz w:val="22"/>
          <w:szCs w:val="22"/>
        </w:rPr>
      </w:pPr>
      <w:r>
        <w:rPr>
          <w:color w:val="000000" w:themeColor="text1"/>
          <w:sz w:val="22"/>
          <w:szCs w:val="22"/>
        </w:rPr>
        <w:t>3</w:t>
      </w:r>
      <w:r w:rsidRPr="00533C82">
        <w:rPr>
          <w:rFonts w:cs="Arial"/>
          <w:color w:val="000000" w:themeColor="text1"/>
          <w:szCs w:val="22"/>
        </w:rPr>
        <w:t xml:space="preserve"> </w:t>
      </w:r>
      <w:r>
        <w:rPr>
          <w:rFonts w:cs="Arial"/>
          <w:color w:val="000000" w:themeColor="text1"/>
          <w:szCs w:val="22"/>
        </w:rPr>
        <w:tab/>
      </w:r>
      <w:r w:rsidR="00F72202" w:rsidRPr="00C345D6">
        <w:rPr>
          <w:rFonts w:cs="Arial"/>
          <w:color w:val="000000" w:themeColor="text1"/>
          <w:sz w:val="22"/>
          <w:szCs w:val="22"/>
        </w:rPr>
        <w:t>The Organization shall not charge</w:t>
      </w:r>
      <w:r w:rsidR="00F72202">
        <w:rPr>
          <w:rFonts w:cs="Arial"/>
          <w:color w:val="000000" w:themeColor="text1"/>
          <w:szCs w:val="22"/>
        </w:rPr>
        <w:t xml:space="preserve"> </w:t>
      </w:r>
      <w:r w:rsidRPr="00C345D6">
        <w:rPr>
          <w:rFonts w:cs="Arial"/>
          <w:color w:val="000000" w:themeColor="text1"/>
          <w:sz w:val="22"/>
          <w:szCs w:val="22"/>
        </w:rPr>
        <w:t>administration fees</w:t>
      </w:r>
      <w:r w:rsidR="00F72202">
        <w:rPr>
          <w:rFonts w:cs="Arial"/>
          <w:color w:val="000000" w:themeColor="text1"/>
          <w:sz w:val="22"/>
          <w:szCs w:val="22"/>
        </w:rPr>
        <w:t xml:space="preserve"> </w:t>
      </w:r>
      <w:r w:rsidRPr="00C345D6">
        <w:rPr>
          <w:rFonts w:cs="Arial"/>
          <w:color w:val="000000" w:themeColor="text1"/>
          <w:sz w:val="22"/>
          <w:szCs w:val="22"/>
        </w:rPr>
        <w:t xml:space="preserve">for calculating, collecting or processing GHG fees or any other associated costs for administration of the mechanism, which shall be met from annual revenue collected via the mechanism. The calculation, collection, processing and administration of GHG fees shall not constitute a service to </w:t>
      </w:r>
      <w:r w:rsidR="003332E2">
        <w:rPr>
          <w:rFonts w:cs="Arial"/>
          <w:color w:val="000000" w:themeColor="text1"/>
          <w:sz w:val="22"/>
          <w:szCs w:val="22"/>
        </w:rPr>
        <w:t xml:space="preserve">the </w:t>
      </w:r>
      <w:r w:rsidRPr="00C345D6">
        <w:rPr>
          <w:rFonts w:cs="Arial"/>
          <w:color w:val="000000" w:themeColor="text1"/>
          <w:sz w:val="22"/>
          <w:szCs w:val="22"/>
        </w:rPr>
        <w:t>ship by the Organization</w:t>
      </w:r>
      <w:r w:rsidR="007F0C42">
        <w:rPr>
          <w:rFonts w:cs="Arial"/>
          <w:color w:val="000000" w:themeColor="text1"/>
          <w:sz w:val="22"/>
          <w:szCs w:val="22"/>
        </w:rPr>
        <w:t>.</w:t>
      </w:r>
      <w:r w:rsidRPr="00F72202">
        <w:rPr>
          <w:rStyle w:val="FootnoteReference"/>
          <w:rFonts w:cs="Arial"/>
          <w:color w:val="000000" w:themeColor="text1"/>
          <w:szCs w:val="22"/>
        </w:rPr>
        <w:footnoteReference w:id="17"/>
      </w:r>
    </w:p>
    <w:p w14:paraId="7A258C52" w14:textId="77777777" w:rsidR="008C0AB8" w:rsidRPr="00E3618B" w:rsidRDefault="008C0AB8" w:rsidP="008C0AB8">
      <w:pPr>
        <w:rPr>
          <w:rFonts w:cs="Arial"/>
          <w:b/>
          <w:bCs/>
          <w:color w:val="000000" w:themeColor="text1"/>
          <w:szCs w:val="22"/>
        </w:rPr>
      </w:pPr>
    </w:p>
    <w:p w14:paraId="0D85270B" w14:textId="77777777" w:rsidR="008C0AB8" w:rsidRPr="00DD57A0" w:rsidRDefault="008C0AB8" w:rsidP="008C0AB8">
      <w:pPr>
        <w:rPr>
          <w:rFonts w:cs="Arial"/>
          <w:b/>
          <w:bCs/>
          <w:i/>
          <w:iCs/>
          <w:szCs w:val="22"/>
        </w:rPr>
      </w:pPr>
      <w:r w:rsidRPr="00DD57A0">
        <w:rPr>
          <w:rFonts w:cs="Arial"/>
          <w:b/>
          <w:bCs/>
          <w:i/>
          <w:iCs/>
          <w:szCs w:val="22"/>
        </w:rPr>
        <w:t>[.10.6</w:t>
      </w:r>
      <w:r w:rsidRPr="00DD57A0">
        <w:rPr>
          <w:rFonts w:cs="Arial"/>
          <w:b/>
          <w:bCs/>
          <w:i/>
          <w:iCs/>
          <w:szCs w:val="22"/>
        </w:rPr>
        <w:tab/>
        <w:t>Distribution of revenue (regulation X)]</w:t>
      </w:r>
    </w:p>
    <w:p w14:paraId="48379136" w14:textId="77777777" w:rsidR="008C0AB8" w:rsidRPr="00DD57A0" w:rsidRDefault="008C0AB8" w:rsidP="008C0AB8">
      <w:pPr>
        <w:rPr>
          <w:rFonts w:cs="Arial"/>
          <w:b/>
          <w:bCs/>
          <w:szCs w:val="22"/>
        </w:rPr>
      </w:pPr>
    </w:p>
    <w:p w14:paraId="7442364A" w14:textId="3A965A9F"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39</w:t>
      </w:r>
    </w:p>
    <w:p w14:paraId="2B299C6F" w14:textId="77777777" w:rsidR="008C0AB8" w:rsidRPr="00E3618B" w:rsidRDefault="008C0AB8" w:rsidP="008C0AB8">
      <w:pPr>
        <w:rPr>
          <w:rFonts w:cs="Arial"/>
          <w:i/>
          <w:iCs/>
          <w:color w:val="000000" w:themeColor="text1"/>
          <w:sz w:val="18"/>
          <w:szCs w:val="22"/>
        </w:rPr>
      </w:pPr>
      <w:r w:rsidRPr="00E3618B">
        <w:rPr>
          <w:rFonts w:cs="Arial"/>
          <w:i/>
          <w:iCs/>
          <w:color w:val="000000" w:themeColor="text1"/>
          <w:szCs w:val="22"/>
        </w:rPr>
        <w:t>Purpose of the mechanism and disbursement of revenue</w:t>
      </w:r>
    </w:p>
    <w:p w14:paraId="7663295C" w14:textId="77777777" w:rsidR="008C0AB8" w:rsidRPr="00E3618B" w:rsidRDefault="008C0AB8" w:rsidP="008C0AB8">
      <w:pPr>
        <w:pStyle w:val="FootnoteText"/>
        <w:tabs>
          <w:tab w:val="clear" w:pos="567"/>
        </w:tabs>
        <w:spacing w:after="60"/>
        <w:ind w:left="0" w:firstLine="0"/>
        <w:rPr>
          <w:color w:val="000000" w:themeColor="text1"/>
        </w:rPr>
      </w:pPr>
    </w:p>
    <w:p w14:paraId="5536A2DC" w14:textId="77777777" w:rsidR="008C0AB8" w:rsidRPr="00E3618B" w:rsidRDefault="008C0AB8" w:rsidP="008C0AB8">
      <w:pPr>
        <w:rPr>
          <w:color w:val="000000" w:themeColor="text1"/>
        </w:rPr>
      </w:pPr>
      <w:r w:rsidRPr="00E3618B">
        <w:rPr>
          <w:rFonts w:cs="Arial"/>
          <w:color w:val="000000" w:themeColor="text1"/>
          <w:szCs w:val="22"/>
        </w:rPr>
        <w:t>1</w:t>
      </w:r>
      <w:r w:rsidRPr="00E3618B">
        <w:rPr>
          <w:rFonts w:cs="Arial"/>
          <w:color w:val="000000" w:themeColor="text1"/>
          <w:szCs w:val="22"/>
        </w:rPr>
        <w:tab/>
        <w:t xml:space="preserve">The GHG fees collected via the mechanism shall be used </w:t>
      </w:r>
      <w:r w:rsidRPr="00E3618B">
        <w:rPr>
          <w:color w:val="000000" w:themeColor="text1"/>
        </w:rPr>
        <w:t>for the following purposes:</w:t>
      </w:r>
    </w:p>
    <w:p w14:paraId="2C12B641" w14:textId="77777777" w:rsidR="008C0AB8" w:rsidRPr="00E3618B" w:rsidRDefault="008C0AB8" w:rsidP="008C0AB8">
      <w:pPr>
        <w:rPr>
          <w:color w:val="000000" w:themeColor="text1"/>
        </w:rPr>
      </w:pPr>
    </w:p>
    <w:p w14:paraId="64E69767" w14:textId="77777777" w:rsidR="008C0AB8" w:rsidRPr="00E3618B" w:rsidRDefault="008C0AB8" w:rsidP="008C0AB8">
      <w:pPr>
        <w:ind w:left="1702" w:hanging="1702"/>
        <w:rPr>
          <w:color w:val="000000" w:themeColor="text1"/>
        </w:rPr>
      </w:pPr>
      <w:r w:rsidRPr="00E3618B">
        <w:rPr>
          <w:color w:val="000000" w:themeColor="text1"/>
        </w:rPr>
        <w:tab/>
        <w:t>.1</w:t>
      </w:r>
      <w:r w:rsidRPr="00E3618B">
        <w:rPr>
          <w:color w:val="000000" w:themeColor="text1"/>
        </w:rPr>
        <w:tab/>
        <w:t>ensuring that at least 5% to 10% of the energy used by shipping comes from zero or near-zero GHG sources as soon as possible, on a pathway to net zero GHG emissions, by incentivizing the accelerated production and uptake of zero and near-zero GHG fuels, energy sources and technologies through the provision of annual feebates to ships for the CO</w:t>
      </w:r>
      <w:r w:rsidRPr="00E3618B">
        <w:rPr>
          <w:color w:val="000000" w:themeColor="text1"/>
          <w:vertAlign w:val="subscript"/>
        </w:rPr>
        <w:t>2</w:t>
      </w:r>
      <w:r w:rsidRPr="00E3618B">
        <w:rPr>
          <w:color w:val="000000" w:themeColor="text1"/>
        </w:rPr>
        <w:t>e emissions prevented by reducing, in combination with the application of a GHG fee, the cost gap between zero and near-zero GHG fuels and conventional Liquid Fuel Oil; and</w:t>
      </w:r>
    </w:p>
    <w:p w14:paraId="7D4B48AB" w14:textId="77777777" w:rsidR="008C0AB8" w:rsidRPr="00E3618B" w:rsidRDefault="008C0AB8" w:rsidP="008C0AB8">
      <w:pPr>
        <w:rPr>
          <w:color w:val="000000" w:themeColor="text1"/>
        </w:rPr>
      </w:pPr>
    </w:p>
    <w:p w14:paraId="4C2FCACC" w14:textId="268E6EDB" w:rsidR="008C0AB8" w:rsidRPr="00E3618B" w:rsidRDefault="008C0AB8" w:rsidP="008C0AB8">
      <w:pPr>
        <w:ind w:left="1701" w:hanging="1699"/>
        <w:rPr>
          <w:color w:val="000000" w:themeColor="text1"/>
        </w:rPr>
      </w:pPr>
      <w:r w:rsidRPr="00E3618B">
        <w:rPr>
          <w:color w:val="000000" w:themeColor="text1"/>
        </w:rPr>
        <w:tab/>
        <w:t>.2</w:t>
      </w:r>
      <w:r w:rsidRPr="00E3618B">
        <w:rPr>
          <w:color w:val="000000" w:themeColor="text1"/>
        </w:rPr>
        <w:tab/>
        <w:t xml:space="preserve">administration of the </w:t>
      </w:r>
      <w:r w:rsidRPr="00E3618B">
        <w:rPr>
          <w:rFonts w:cs="Arial"/>
          <w:color w:val="000000" w:themeColor="text1"/>
          <w:szCs w:val="22"/>
        </w:rPr>
        <w:t xml:space="preserve">maritime GHG emissions pricing mechanism, </w:t>
      </w:r>
      <w:r w:rsidRPr="00E3618B">
        <w:rPr>
          <w:color w:val="000000" w:themeColor="text1"/>
        </w:rPr>
        <w:t>including establishment and administration of the feebate element pursuant</w:t>
      </w:r>
      <w:r w:rsidR="00531B1A">
        <w:rPr>
          <w:color w:val="000000" w:themeColor="text1"/>
        </w:rPr>
        <w:t xml:space="preserve"> </w:t>
      </w:r>
      <w:r w:rsidRPr="00E3618B">
        <w:rPr>
          <w:color w:val="000000" w:themeColor="text1"/>
        </w:rPr>
        <w:t xml:space="preserve">to regulation </w:t>
      </w:r>
      <w:r>
        <w:rPr>
          <w:color w:val="000000" w:themeColor="text1"/>
        </w:rPr>
        <w:t>41</w:t>
      </w:r>
      <w:r w:rsidRPr="00E3618B">
        <w:rPr>
          <w:color w:val="000000" w:themeColor="text1"/>
        </w:rPr>
        <w:t xml:space="preserve"> of this Annex, ensuring this entails no costs to the Organization.</w:t>
      </w:r>
    </w:p>
    <w:p w14:paraId="6083C58E" w14:textId="77777777" w:rsidR="008C0AB8" w:rsidRDefault="008C0AB8" w:rsidP="008C0AB8">
      <w:pPr>
        <w:rPr>
          <w:color w:val="000000" w:themeColor="text1"/>
        </w:rPr>
      </w:pPr>
    </w:p>
    <w:p w14:paraId="3A3EC36F" w14:textId="14119B08" w:rsidR="008C0AB8" w:rsidRPr="00E3618B" w:rsidRDefault="008C0AB8" w:rsidP="008C0AB8">
      <w:pPr>
        <w:rPr>
          <w:rFonts w:cs="Arial"/>
          <w:color w:val="000000" w:themeColor="text1"/>
          <w:szCs w:val="22"/>
        </w:rPr>
      </w:pPr>
      <w:r w:rsidRPr="00E3618B">
        <w:rPr>
          <w:rFonts w:cs="Arial"/>
          <w:color w:val="000000" w:themeColor="text1"/>
          <w:szCs w:val="22"/>
        </w:rPr>
        <w:lastRenderedPageBreak/>
        <w:t>2</w:t>
      </w:r>
      <w:r w:rsidRPr="00E3618B">
        <w:rPr>
          <w:rFonts w:cs="Arial"/>
          <w:color w:val="000000" w:themeColor="text1"/>
          <w:szCs w:val="22"/>
        </w:rPr>
        <w:tab/>
        <w:t>For five years after entry into force of this chapter, provided that the total GHG fees collected for CO</w:t>
      </w:r>
      <w:r w:rsidRPr="00E3618B">
        <w:rPr>
          <w:rFonts w:cs="Arial"/>
          <w:color w:val="000000" w:themeColor="text1"/>
          <w:szCs w:val="22"/>
          <w:vertAlign w:val="subscript"/>
        </w:rPr>
        <w:t>2</w:t>
      </w:r>
      <w:r w:rsidRPr="00E3618B">
        <w:rPr>
          <w:rFonts w:cs="Arial"/>
          <w:color w:val="000000" w:themeColor="text1"/>
          <w:szCs w:val="22"/>
        </w:rPr>
        <w:t xml:space="preserve">e emissions occurring in any calendar year shall be adequate to meet the purposes set out in paragraph 1 of this regulation, </w:t>
      </w:r>
      <w:r>
        <w:rPr>
          <w:rFonts w:cs="Arial"/>
          <w:color w:val="000000" w:themeColor="text1"/>
          <w:szCs w:val="22"/>
        </w:rPr>
        <w:t xml:space="preserve">an amount </w:t>
      </w:r>
      <w:r w:rsidRPr="00E3618B">
        <w:rPr>
          <w:rFonts w:cs="Arial"/>
          <w:color w:val="000000" w:themeColor="text1"/>
          <w:szCs w:val="22"/>
        </w:rPr>
        <w:t>up to [20%</w:t>
      </w:r>
      <w:r w:rsidRPr="00E3618B">
        <w:rPr>
          <w:rStyle w:val="FootnoteReference"/>
          <w:rFonts w:cs="Arial"/>
          <w:color w:val="000000" w:themeColor="text1"/>
          <w:szCs w:val="22"/>
        </w:rPr>
        <w:footnoteReference w:id="18"/>
      </w:r>
      <w:r w:rsidRPr="00E3618B">
        <w:rPr>
          <w:rFonts w:cs="Arial"/>
          <w:color w:val="000000" w:themeColor="text1"/>
          <w:szCs w:val="22"/>
        </w:rPr>
        <w:t xml:space="preserve">] of the total GHG fees </w:t>
      </w:r>
      <w:r>
        <w:rPr>
          <w:rFonts w:cs="Arial"/>
          <w:color w:val="000000" w:themeColor="text1"/>
          <w:szCs w:val="22"/>
        </w:rPr>
        <w:t xml:space="preserve">to be </w:t>
      </w:r>
      <w:r w:rsidRPr="00E3618B">
        <w:rPr>
          <w:rFonts w:cs="Arial"/>
          <w:color w:val="000000" w:themeColor="text1"/>
          <w:szCs w:val="22"/>
        </w:rPr>
        <w:t xml:space="preserve">collected </w:t>
      </w:r>
      <w:r>
        <w:rPr>
          <w:rFonts w:cs="Arial"/>
          <w:color w:val="000000" w:themeColor="text1"/>
          <w:szCs w:val="22"/>
        </w:rPr>
        <w:t>in accordance with regulation 40.3.1</w:t>
      </w:r>
      <w:r>
        <w:rPr>
          <w:rStyle w:val="FootnoteReference"/>
          <w:rFonts w:cs="Arial"/>
          <w:color w:val="000000" w:themeColor="text1"/>
          <w:szCs w:val="22"/>
        </w:rPr>
        <w:footnoteReference w:id="19"/>
      </w:r>
      <w:r>
        <w:rPr>
          <w:rFonts w:cs="Arial"/>
          <w:color w:val="000000" w:themeColor="text1"/>
          <w:szCs w:val="22"/>
        </w:rPr>
        <w:t xml:space="preserve"> of this Annex </w:t>
      </w:r>
      <w:r w:rsidRPr="00E3618B">
        <w:rPr>
          <w:rFonts w:cs="Arial"/>
          <w:color w:val="000000" w:themeColor="text1"/>
          <w:szCs w:val="22"/>
        </w:rPr>
        <w:t>may be allocated to the IMO Net Zero Shipping Fund, established in accordance with regulation 4</w:t>
      </w:r>
      <w:r>
        <w:rPr>
          <w:rFonts w:cs="Arial"/>
          <w:color w:val="000000" w:themeColor="text1"/>
          <w:szCs w:val="22"/>
        </w:rPr>
        <w:t>2</w:t>
      </w:r>
      <w:r w:rsidRPr="00E3618B">
        <w:rPr>
          <w:rFonts w:cs="Arial"/>
          <w:color w:val="000000" w:themeColor="text1"/>
          <w:szCs w:val="22"/>
        </w:rPr>
        <w:t xml:space="preserve"> of this Annex,</w:t>
      </w:r>
      <w:r w:rsidRPr="00E3618B">
        <w:rPr>
          <w:color w:val="000000" w:themeColor="text1"/>
        </w:rPr>
        <w:t xml:space="preserve"> to support</w:t>
      </w:r>
      <w:r w:rsidR="007F7875">
        <w:rPr>
          <w:color w:val="000000" w:themeColor="text1"/>
        </w:rPr>
        <w:t xml:space="preserve">, inter </w:t>
      </w:r>
      <w:r w:rsidR="00C93D78">
        <w:rPr>
          <w:color w:val="000000" w:themeColor="text1"/>
        </w:rPr>
        <w:t>alia,</w:t>
      </w:r>
      <w:r w:rsidRPr="00E3618B">
        <w:rPr>
          <w:color w:val="000000" w:themeColor="text1"/>
        </w:rPr>
        <w:t xml:space="preserve"> maritime GHG reduction projects and programmes in developing countries</w:t>
      </w:r>
      <w:r w:rsidR="00323528">
        <w:t>.</w:t>
      </w:r>
      <w:r w:rsidRPr="00E3618B">
        <w:rPr>
          <w:rFonts w:cs="Arial"/>
          <w:color w:val="000000" w:themeColor="text1"/>
          <w:szCs w:val="22"/>
        </w:rPr>
        <w:t xml:space="preserve"> These projects and programmes may include:</w:t>
      </w:r>
    </w:p>
    <w:p w14:paraId="14DC53EA" w14:textId="77777777" w:rsidR="008C0AB8" w:rsidRPr="00E3618B" w:rsidRDefault="008C0AB8" w:rsidP="008C0AB8">
      <w:pPr>
        <w:tabs>
          <w:tab w:val="clear" w:pos="851"/>
        </w:tabs>
        <w:ind w:left="1702" w:hanging="1702"/>
        <w:rPr>
          <w:color w:val="000000" w:themeColor="text1"/>
        </w:rPr>
      </w:pPr>
    </w:p>
    <w:p w14:paraId="638C02A2" w14:textId="356E5B09" w:rsidR="008C0AB8" w:rsidRPr="00E3618B" w:rsidRDefault="008C0AB8" w:rsidP="008C0AB8">
      <w:pPr>
        <w:tabs>
          <w:tab w:val="clear" w:pos="851"/>
          <w:tab w:val="left" w:pos="1701"/>
        </w:tabs>
        <w:ind w:left="1701" w:hanging="850"/>
        <w:rPr>
          <w:color w:val="000000" w:themeColor="text1"/>
        </w:rPr>
      </w:pPr>
      <w:r w:rsidRPr="00E3618B">
        <w:rPr>
          <w:color w:val="000000" w:themeColor="text1"/>
        </w:rPr>
        <w:t>.1</w:t>
      </w:r>
      <w:r w:rsidRPr="00E3618B">
        <w:rPr>
          <w:color w:val="000000" w:themeColor="text1"/>
        </w:rPr>
        <w:tab/>
        <w:t>capacity-building in developing countries, especially SIDS and LDCs, including deployment of zero or near-zero GHG maritime fuel production facilities and new bunkering infrastructure that may be required in ports to expedite transition</w:t>
      </w:r>
      <w:r w:rsidR="007A3D6D">
        <w:rPr>
          <w:color w:val="000000" w:themeColor="text1"/>
        </w:rPr>
        <w:t xml:space="preserve"> </w:t>
      </w:r>
      <w:r w:rsidR="007A3D6D">
        <w:rPr>
          <w:rFonts w:cs="Arial"/>
          <w:color w:val="000000" w:themeColor="text1"/>
          <w:szCs w:val="22"/>
        </w:rPr>
        <w:t xml:space="preserve">and </w:t>
      </w:r>
      <w:r w:rsidR="007A3D6D">
        <w:t>adaptation to climate change</w:t>
      </w:r>
      <w:r w:rsidR="003E0DCD">
        <w:t>;</w:t>
      </w:r>
    </w:p>
    <w:p w14:paraId="0D4DFDC3" w14:textId="77777777" w:rsidR="008C0AB8" w:rsidRPr="00E3618B" w:rsidRDefault="008C0AB8" w:rsidP="008C0AB8">
      <w:pPr>
        <w:tabs>
          <w:tab w:val="clear" w:pos="851"/>
          <w:tab w:val="left" w:pos="1701"/>
        </w:tabs>
        <w:ind w:left="1701" w:hanging="850"/>
        <w:rPr>
          <w:color w:val="000000" w:themeColor="text1"/>
        </w:rPr>
      </w:pPr>
    </w:p>
    <w:p w14:paraId="040CCD74" w14:textId="77777777" w:rsidR="008C0AB8" w:rsidRPr="00E3618B" w:rsidRDefault="008C0AB8" w:rsidP="008C0AB8">
      <w:pPr>
        <w:tabs>
          <w:tab w:val="clear" w:pos="851"/>
          <w:tab w:val="left" w:pos="1701"/>
        </w:tabs>
        <w:ind w:left="1701" w:hanging="850"/>
        <w:rPr>
          <w:color w:val="000000" w:themeColor="text1"/>
        </w:rPr>
      </w:pPr>
      <w:r w:rsidRPr="00E3618B">
        <w:rPr>
          <w:color w:val="000000" w:themeColor="text1"/>
        </w:rPr>
        <w:t>.2</w:t>
      </w:r>
      <w:r w:rsidRPr="00E3618B">
        <w:rPr>
          <w:color w:val="000000" w:themeColor="text1"/>
        </w:rPr>
        <w:tab/>
        <w:t>funding, inter alia, for the IMO GHG-TC Trust Fund to support other maritime</w:t>
      </w:r>
    </w:p>
    <w:p w14:paraId="7A3283AC" w14:textId="77777777" w:rsidR="008C0AB8" w:rsidRPr="00E3618B" w:rsidRDefault="008C0AB8" w:rsidP="008C0AB8">
      <w:pPr>
        <w:tabs>
          <w:tab w:val="clear" w:pos="851"/>
        </w:tabs>
        <w:ind w:left="2550" w:hanging="849"/>
        <w:rPr>
          <w:color w:val="000000" w:themeColor="text1"/>
        </w:rPr>
      </w:pPr>
      <w:r w:rsidRPr="00E3618B">
        <w:rPr>
          <w:color w:val="000000" w:themeColor="text1"/>
        </w:rPr>
        <w:t>GHG reduction projects in developing countries, especially SIDS and LDCs;</w:t>
      </w:r>
    </w:p>
    <w:p w14:paraId="7EF267F3" w14:textId="77777777" w:rsidR="008C0AB8" w:rsidRPr="00E3618B" w:rsidRDefault="008C0AB8" w:rsidP="008C0AB8">
      <w:pPr>
        <w:tabs>
          <w:tab w:val="clear" w:pos="851"/>
        </w:tabs>
        <w:rPr>
          <w:color w:val="000000" w:themeColor="text1"/>
        </w:rPr>
      </w:pPr>
    </w:p>
    <w:p w14:paraId="348AC8E5" w14:textId="77777777" w:rsidR="008C0AB8" w:rsidRPr="00E3618B" w:rsidRDefault="008C0AB8" w:rsidP="008C0AB8">
      <w:pPr>
        <w:tabs>
          <w:tab w:val="clear" w:pos="851"/>
        </w:tabs>
        <w:ind w:left="1700" w:hanging="840"/>
        <w:rPr>
          <w:color w:val="000000" w:themeColor="text1"/>
        </w:rPr>
      </w:pPr>
      <w:r w:rsidRPr="00E3618B">
        <w:rPr>
          <w:color w:val="000000" w:themeColor="text1"/>
        </w:rPr>
        <w:t>.3</w:t>
      </w:r>
      <w:r w:rsidRPr="00E3618B">
        <w:rPr>
          <w:color w:val="000000" w:themeColor="text1"/>
        </w:rPr>
        <w:tab/>
        <w:t>funding for applied research and development (R&amp;D) programmes of alternative fuels and innovative technologies; and</w:t>
      </w:r>
    </w:p>
    <w:p w14:paraId="4B49B728" w14:textId="77777777" w:rsidR="008C0AB8" w:rsidRPr="00E3618B" w:rsidRDefault="008C0AB8" w:rsidP="008C0AB8">
      <w:pPr>
        <w:tabs>
          <w:tab w:val="clear" w:pos="851"/>
        </w:tabs>
        <w:ind w:left="1700" w:hanging="840"/>
        <w:rPr>
          <w:color w:val="000000" w:themeColor="text1"/>
        </w:rPr>
      </w:pPr>
    </w:p>
    <w:p w14:paraId="66045BAF" w14:textId="77777777" w:rsidR="008C0AB8" w:rsidRPr="00E3618B" w:rsidRDefault="008C0AB8" w:rsidP="008C0AB8">
      <w:pPr>
        <w:tabs>
          <w:tab w:val="clear" w:pos="851"/>
        </w:tabs>
        <w:ind w:left="1700" w:hanging="840"/>
        <w:rPr>
          <w:color w:val="000000" w:themeColor="text1"/>
        </w:rPr>
      </w:pPr>
      <w:r w:rsidRPr="00E3618B">
        <w:rPr>
          <w:color w:val="000000" w:themeColor="text1"/>
        </w:rPr>
        <w:t>.</w:t>
      </w:r>
      <w:r w:rsidRPr="00E3618B">
        <w:rPr>
          <w:rFonts w:cs="Arial"/>
          <w:color w:val="000000" w:themeColor="text1"/>
          <w:sz w:val="24"/>
          <w:szCs w:val="24"/>
        </w:rPr>
        <w:t>4</w:t>
      </w:r>
      <w:r w:rsidRPr="00E3618B">
        <w:rPr>
          <w:rFonts w:cs="Arial"/>
          <w:color w:val="000000" w:themeColor="text1"/>
          <w:sz w:val="24"/>
          <w:szCs w:val="24"/>
        </w:rPr>
        <w:tab/>
      </w:r>
      <w:r w:rsidRPr="00E3618B">
        <w:rPr>
          <w:rFonts w:cs="Arial"/>
          <w:color w:val="000000" w:themeColor="text1"/>
          <w:szCs w:val="22"/>
        </w:rPr>
        <w:t xml:space="preserve">funding for seafarer training in developing countries and promotion of a just transition. </w:t>
      </w:r>
    </w:p>
    <w:p w14:paraId="503E46D4" w14:textId="77777777" w:rsidR="008C0AB8" w:rsidRPr="00E3618B" w:rsidRDefault="008C0AB8" w:rsidP="008C0AB8">
      <w:pPr>
        <w:rPr>
          <w:rFonts w:cs="Arial"/>
          <w:color w:val="000000" w:themeColor="text1"/>
          <w:szCs w:val="22"/>
        </w:rPr>
      </w:pPr>
    </w:p>
    <w:p w14:paraId="00300F55" w14:textId="77777777" w:rsidR="008C0AB8" w:rsidRPr="00E3618B" w:rsidRDefault="008C0AB8" w:rsidP="008C0AB8">
      <w:pPr>
        <w:rPr>
          <w:rFonts w:cs="Arial"/>
          <w:color w:val="000000" w:themeColor="text1"/>
          <w:szCs w:val="22"/>
        </w:rPr>
      </w:pPr>
      <w:r w:rsidRPr="00E3618B">
        <w:rPr>
          <w:color w:val="000000" w:themeColor="text1"/>
        </w:rPr>
        <w:t>3</w:t>
      </w:r>
      <w:r w:rsidRPr="00E3618B">
        <w:rPr>
          <w:color w:val="000000" w:themeColor="text1"/>
        </w:rPr>
        <w:tab/>
      </w:r>
      <w:r w:rsidRPr="00E3618B">
        <w:rPr>
          <w:rFonts w:cs="Arial"/>
          <w:color w:val="000000" w:themeColor="text1"/>
          <w:szCs w:val="22"/>
        </w:rPr>
        <w:t xml:space="preserve">The GHG fees collected shall only be used for the purposes specified in paragraphs 1 and 2 of this regulation. </w:t>
      </w:r>
    </w:p>
    <w:p w14:paraId="4EC8DAF6" w14:textId="77777777" w:rsidR="008C0AB8" w:rsidRPr="00E3618B" w:rsidRDefault="008C0AB8" w:rsidP="008C0AB8">
      <w:pPr>
        <w:rPr>
          <w:rFonts w:cs="Arial"/>
          <w:color w:val="000000" w:themeColor="text1"/>
          <w:szCs w:val="22"/>
        </w:rPr>
      </w:pPr>
    </w:p>
    <w:p w14:paraId="0A84FA38" w14:textId="77777777" w:rsidR="008C0AB8" w:rsidRPr="00E3618B" w:rsidRDefault="008C0AB8" w:rsidP="008C0AB8">
      <w:pPr>
        <w:tabs>
          <w:tab w:val="left" w:pos="1418"/>
        </w:tabs>
        <w:rPr>
          <w:rFonts w:cs="Arial"/>
          <w:color w:val="000000" w:themeColor="text1"/>
          <w:szCs w:val="22"/>
        </w:rPr>
      </w:pPr>
      <w:r w:rsidRPr="00E3618B">
        <w:rPr>
          <w:rFonts w:cs="Arial"/>
          <w:color w:val="000000" w:themeColor="text1"/>
          <w:szCs w:val="22"/>
        </w:rPr>
        <w:t>4</w:t>
      </w:r>
      <w:r w:rsidRPr="00E3618B">
        <w:rPr>
          <w:rFonts w:cs="Arial"/>
          <w:color w:val="000000" w:themeColor="text1"/>
          <w:szCs w:val="22"/>
        </w:rPr>
        <w:tab/>
        <w:t xml:space="preserve">Any additional GHG fees generated from the provision of </w:t>
      </w:r>
      <w:r>
        <w:rPr>
          <w:rFonts w:cs="Arial"/>
          <w:color w:val="000000" w:themeColor="text1"/>
          <w:szCs w:val="22"/>
        </w:rPr>
        <w:t xml:space="preserve">GHG </w:t>
      </w:r>
      <w:r w:rsidRPr="00E3618B">
        <w:rPr>
          <w:rFonts w:cs="Arial"/>
          <w:color w:val="000000" w:themeColor="text1"/>
          <w:szCs w:val="22"/>
        </w:rPr>
        <w:t>Surcharge Fees to ships, in accordance with regulation 3</w:t>
      </w:r>
      <w:r>
        <w:rPr>
          <w:rFonts w:cs="Arial"/>
          <w:color w:val="000000" w:themeColor="text1"/>
          <w:szCs w:val="22"/>
        </w:rPr>
        <w:t>6</w:t>
      </w:r>
      <w:r w:rsidRPr="00E3618B">
        <w:rPr>
          <w:rFonts w:cs="Arial"/>
          <w:color w:val="000000" w:themeColor="text1"/>
          <w:szCs w:val="22"/>
        </w:rPr>
        <w:t xml:space="preserve"> of this Annex, shall also be allocated to the IMO Net Zero Shipping Fund.  </w:t>
      </w:r>
    </w:p>
    <w:p w14:paraId="2A7FF8F5" w14:textId="77777777" w:rsidR="008C0AB8" w:rsidRPr="00E3618B" w:rsidRDefault="008C0AB8" w:rsidP="008C0AB8">
      <w:pPr>
        <w:rPr>
          <w:color w:val="000000" w:themeColor="text1"/>
        </w:rPr>
      </w:pPr>
    </w:p>
    <w:p w14:paraId="0A7E94D7" w14:textId="77777777" w:rsidR="008C0AB8" w:rsidRPr="00E3618B" w:rsidRDefault="008C0AB8" w:rsidP="008C0AB8">
      <w:pPr>
        <w:rPr>
          <w:color w:val="000000" w:themeColor="text1"/>
        </w:rPr>
      </w:pPr>
      <w:r w:rsidRPr="00E3618B">
        <w:rPr>
          <w:color w:val="000000" w:themeColor="text1"/>
        </w:rPr>
        <w:t>5</w:t>
      </w:r>
      <w:r w:rsidRPr="00E3618B">
        <w:rPr>
          <w:color w:val="000000" w:themeColor="text1"/>
        </w:rPr>
        <w:tab/>
        <w:t>Following the review of this chapter, required by regulation 4</w:t>
      </w:r>
      <w:r>
        <w:rPr>
          <w:color w:val="000000" w:themeColor="text1"/>
        </w:rPr>
        <w:t>4</w:t>
      </w:r>
      <w:r w:rsidRPr="00E3618B">
        <w:rPr>
          <w:color w:val="000000" w:themeColor="text1"/>
        </w:rPr>
        <w:t xml:space="preserve"> of this Annex, the proportion of the total GHG fees collected annually which may be used to provide funding for the IMO Net Z</w:t>
      </w:r>
      <w:r w:rsidRPr="00E3618B">
        <w:rPr>
          <w:rFonts w:cs="Arial"/>
          <w:color w:val="000000" w:themeColor="text1"/>
          <w:szCs w:val="22"/>
        </w:rPr>
        <w:t>ero Shipping Fund</w:t>
      </w:r>
      <w:r w:rsidRPr="00E3618B">
        <w:rPr>
          <w:color w:val="000000" w:themeColor="text1"/>
        </w:rPr>
        <w:t>, as set out in paragraph 2 of this regulation, may be adjusted.</w:t>
      </w:r>
    </w:p>
    <w:p w14:paraId="565984BC" w14:textId="77777777" w:rsidR="0021568A" w:rsidRDefault="0021568A" w:rsidP="008C0AB8">
      <w:pPr>
        <w:rPr>
          <w:rFonts w:cs="Arial"/>
          <w:b/>
          <w:bCs/>
          <w:i/>
          <w:iCs/>
          <w:szCs w:val="22"/>
        </w:rPr>
      </w:pPr>
    </w:p>
    <w:p w14:paraId="43A625A9" w14:textId="2115A4A1" w:rsidR="008C0AB8" w:rsidRPr="00052693" w:rsidRDefault="008C0AB8" w:rsidP="008C0AB8">
      <w:pPr>
        <w:rPr>
          <w:rFonts w:cs="Arial"/>
          <w:b/>
          <w:bCs/>
          <w:i/>
          <w:iCs/>
          <w:szCs w:val="22"/>
        </w:rPr>
      </w:pPr>
      <w:r w:rsidRPr="00052693">
        <w:rPr>
          <w:rFonts w:cs="Arial"/>
          <w:b/>
          <w:bCs/>
          <w:i/>
          <w:iCs/>
          <w:szCs w:val="22"/>
        </w:rPr>
        <w:t>[.10.2</w:t>
      </w:r>
      <w:r w:rsidRPr="00052693">
        <w:rPr>
          <w:rFonts w:cs="Arial"/>
          <w:b/>
          <w:bCs/>
          <w:i/>
          <w:iCs/>
          <w:szCs w:val="22"/>
        </w:rPr>
        <w:tab/>
        <w:t>Calculation of economic contribution by ships (regulation X)]</w:t>
      </w:r>
    </w:p>
    <w:p w14:paraId="57FFA1AE" w14:textId="77777777" w:rsidR="008C0AB8" w:rsidRPr="00052693" w:rsidRDefault="008C0AB8" w:rsidP="008C0AB8">
      <w:pPr>
        <w:rPr>
          <w:rFonts w:cs="Arial"/>
          <w:b/>
          <w:bCs/>
          <w:i/>
          <w:iCs/>
          <w:szCs w:val="22"/>
        </w:rPr>
      </w:pPr>
      <w:r w:rsidRPr="00052693">
        <w:rPr>
          <w:rFonts w:cs="Arial"/>
          <w:b/>
          <w:bCs/>
          <w:i/>
          <w:iCs/>
          <w:szCs w:val="22"/>
        </w:rPr>
        <w:t>[.10.3</w:t>
      </w:r>
      <w:r w:rsidRPr="00052693">
        <w:rPr>
          <w:rFonts w:cs="Arial"/>
          <w:b/>
          <w:bCs/>
          <w:i/>
          <w:iCs/>
          <w:szCs w:val="22"/>
        </w:rPr>
        <w:tab/>
        <w:t>Collection of economic contribution by ships (regulation X)]</w:t>
      </w:r>
    </w:p>
    <w:p w14:paraId="04EA6F86" w14:textId="77777777" w:rsidR="008C0AB8" w:rsidRPr="00052693" w:rsidRDefault="008C0AB8" w:rsidP="008C0AB8">
      <w:pPr>
        <w:rPr>
          <w:rFonts w:cs="Arial"/>
          <w:b/>
          <w:bCs/>
          <w:i/>
          <w:iCs/>
          <w:szCs w:val="22"/>
        </w:rPr>
      </w:pPr>
      <w:r w:rsidRPr="00052693">
        <w:rPr>
          <w:rFonts w:cs="Arial"/>
          <w:b/>
          <w:bCs/>
          <w:i/>
          <w:iCs/>
          <w:szCs w:val="22"/>
        </w:rPr>
        <w:t>[.10.5</w:t>
      </w:r>
      <w:r w:rsidRPr="00052693">
        <w:rPr>
          <w:rFonts w:cs="Arial"/>
          <w:b/>
          <w:bCs/>
          <w:i/>
          <w:iCs/>
          <w:szCs w:val="22"/>
        </w:rPr>
        <w:tab/>
        <w:t>Central management/oversight of collected revenue (regulation X)]</w:t>
      </w:r>
    </w:p>
    <w:p w14:paraId="30C51CF4" w14:textId="77777777" w:rsidR="008C0AB8" w:rsidRPr="00052693" w:rsidRDefault="008C0AB8" w:rsidP="008C0AB8">
      <w:pPr>
        <w:rPr>
          <w:rFonts w:cs="Arial"/>
          <w:b/>
          <w:bCs/>
          <w:i/>
          <w:iCs/>
          <w:szCs w:val="22"/>
        </w:rPr>
      </w:pPr>
    </w:p>
    <w:p w14:paraId="14F49C1A" w14:textId="77777777" w:rsidR="008C0AB8" w:rsidRPr="00B76895" w:rsidRDefault="008C0AB8" w:rsidP="008C0AB8">
      <w:pPr>
        <w:rPr>
          <w:rFonts w:cs="Arial"/>
          <w:b/>
          <w:bCs/>
          <w:i/>
          <w:iCs/>
          <w:szCs w:val="22"/>
        </w:rPr>
      </w:pPr>
      <w:r w:rsidRPr="00B76895">
        <w:rPr>
          <w:rFonts w:cs="Arial"/>
          <w:b/>
          <w:bCs/>
          <w:i/>
          <w:iCs/>
          <w:szCs w:val="22"/>
        </w:rPr>
        <w:t>[NB</w:t>
      </w:r>
      <w:r>
        <w:rPr>
          <w:rFonts w:cs="Arial"/>
          <w:b/>
          <w:bCs/>
          <w:i/>
          <w:iCs/>
          <w:szCs w:val="22"/>
        </w:rPr>
        <w:t>: These p</w:t>
      </w:r>
      <w:r w:rsidRPr="00B76895">
        <w:rPr>
          <w:rFonts w:cs="Arial"/>
          <w:b/>
          <w:bCs/>
          <w:i/>
          <w:iCs/>
          <w:szCs w:val="22"/>
        </w:rPr>
        <w:t xml:space="preserve">rovisions are addressed by regulations 40 and 41 below.] </w:t>
      </w:r>
    </w:p>
    <w:p w14:paraId="071554A9" w14:textId="77777777" w:rsidR="008C0AB8" w:rsidRPr="00B76895" w:rsidRDefault="008C0AB8" w:rsidP="008C0AB8">
      <w:pPr>
        <w:rPr>
          <w:rFonts w:cs="Arial"/>
          <w:b/>
          <w:bCs/>
          <w:i/>
          <w:iCs/>
          <w:szCs w:val="22"/>
        </w:rPr>
      </w:pPr>
    </w:p>
    <w:p w14:paraId="4A7429A6" w14:textId="77777777" w:rsidR="007F5A1F" w:rsidRDefault="007F5A1F" w:rsidP="008C0AB8">
      <w:pPr>
        <w:rPr>
          <w:rFonts w:cs="Arial"/>
          <w:b/>
          <w:bCs/>
          <w:color w:val="000000" w:themeColor="text1"/>
          <w:szCs w:val="22"/>
        </w:rPr>
      </w:pPr>
    </w:p>
    <w:p w14:paraId="62828197" w14:textId="77777777" w:rsidR="007F5A1F" w:rsidRDefault="007F5A1F" w:rsidP="008C0AB8">
      <w:pPr>
        <w:rPr>
          <w:rFonts w:cs="Arial"/>
          <w:b/>
          <w:bCs/>
          <w:color w:val="000000" w:themeColor="text1"/>
          <w:szCs w:val="22"/>
        </w:rPr>
      </w:pPr>
    </w:p>
    <w:p w14:paraId="2F842F2D" w14:textId="77777777" w:rsidR="007F5A1F" w:rsidRDefault="007F5A1F" w:rsidP="008C0AB8">
      <w:pPr>
        <w:rPr>
          <w:rFonts w:cs="Arial"/>
          <w:b/>
          <w:bCs/>
          <w:color w:val="000000" w:themeColor="text1"/>
          <w:szCs w:val="22"/>
        </w:rPr>
      </w:pPr>
    </w:p>
    <w:p w14:paraId="5010242E" w14:textId="77777777" w:rsidR="007F5A1F" w:rsidRDefault="007F5A1F" w:rsidP="008C0AB8">
      <w:pPr>
        <w:rPr>
          <w:rFonts w:cs="Arial"/>
          <w:b/>
          <w:bCs/>
          <w:color w:val="000000" w:themeColor="text1"/>
          <w:szCs w:val="22"/>
        </w:rPr>
      </w:pPr>
    </w:p>
    <w:p w14:paraId="1740C336" w14:textId="7D12A9FC" w:rsidR="008C0AB8" w:rsidRPr="00E3618B" w:rsidRDefault="008C0AB8" w:rsidP="008C0AB8">
      <w:pPr>
        <w:rPr>
          <w:rFonts w:cs="Arial"/>
          <w:b/>
          <w:bCs/>
          <w:color w:val="000000" w:themeColor="text1"/>
          <w:szCs w:val="22"/>
        </w:rPr>
      </w:pPr>
      <w:r w:rsidRPr="00E3618B">
        <w:rPr>
          <w:rFonts w:cs="Arial"/>
          <w:b/>
          <w:bCs/>
          <w:color w:val="000000" w:themeColor="text1"/>
          <w:szCs w:val="22"/>
        </w:rPr>
        <w:lastRenderedPageBreak/>
        <w:t xml:space="preserve">Regulation </w:t>
      </w:r>
      <w:r>
        <w:rPr>
          <w:rFonts w:cs="Arial"/>
          <w:b/>
          <w:bCs/>
          <w:color w:val="000000" w:themeColor="text1"/>
          <w:szCs w:val="22"/>
        </w:rPr>
        <w:t>40</w:t>
      </w:r>
    </w:p>
    <w:p w14:paraId="2A8DBECB"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 xml:space="preserve">Calculation and collection of GHG fees    </w:t>
      </w:r>
    </w:p>
    <w:p w14:paraId="1ADD32DD" w14:textId="77777777" w:rsidR="008C0AB8" w:rsidRPr="00E3618B" w:rsidRDefault="008C0AB8" w:rsidP="008C0AB8">
      <w:pPr>
        <w:rPr>
          <w:rFonts w:cs="Arial"/>
          <w:color w:val="000000" w:themeColor="text1"/>
          <w:szCs w:val="22"/>
        </w:rPr>
      </w:pPr>
    </w:p>
    <w:p w14:paraId="32F4F5D8" w14:textId="4649DF6B" w:rsidR="008C0AB8" w:rsidRPr="00E3618B" w:rsidRDefault="008C0AB8" w:rsidP="008C0AB8">
      <w:pPr>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Subject to regulation 4</w:t>
      </w:r>
      <w:r>
        <w:rPr>
          <w:rFonts w:cs="Arial"/>
          <w:color w:val="000000" w:themeColor="text1"/>
          <w:szCs w:val="22"/>
        </w:rPr>
        <w:t>3</w:t>
      </w:r>
      <w:r w:rsidRPr="00E3618B">
        <w:rPr>
          <w:rFonts w:cs="Arial"/>
          <w:color w:val="000000" w:themeColor="text1"/>
          <w:szCs w:val="22"/>
        </w:rPr>
        <w:t xml:space="preserve"> of this Annex, within [five] months after the end of each calendar year ships to which this chapter applies shall contribute an annual GHG fee</w:t>
      </w:r>
      <w:r w:rsidR="007029A8">
        <w:rPr>
          <w:rFonts w:cs="Arial"/>
          <w:color w:val="000000" w:themeColor="text1"/>
          <w:szCs w:val="22"/>
        </w:rPr>
        <w:t xml:space="preserve">, in accordance with paragraph </w:t>
      </w:r>
      <w:r w:rsidR="0090232F">
        <w:rPr>
          <w:rFonts w:cs="Arial"/>
          <w:color w:val="000000" w:themeColor="text1"/>
          <w:szCs w:val="22"/>
        </w:rPr>
        <w:t>4 of this regulation,</w:t>
      </w:r>
      <w:r w:rsidRPr="00E3618B">
        <w:rPr>
          <w:rFonts w:cs="Arial"/>
          <w:color w:val="000000" w:themeColor="text1"/>
          <w:szCs w:val="22"/>
        </w:rPr>
        <w:t xml:space="preserve"> to be collected by the Organization via the maritime GHG emissions pricing mechanism. </w:t>
      </w:r>
    </w:p>
    <w:p w14:paraId="7A8823BA" w14:textId="77777777" w:rsidR="008C0AB8" w:rsidRPr="00E3618B" w:rsidRDefault="008C0AB8" w:rsidP="008C0AB8">
      <w:pPr>
        <w:rPr>
          <w:rFonts w:cs="Arial"/>
          <w:color w:val="000000" w:themeColor="text1"/>
          <w:szCs w:val="22"/>
        </w:rPr>
      </w:pPr>
    </w:p>
    <w:p w14:paraId="53CF829E" w14:textId="77777777" w:rsidR="008C0AB8" w:rsidRPr="00E3618B" w:rsidRDefault="008C0AB8" w:rsidP="008C0AB8">
      <w:pPr>
        <w:rPr>
          <w:rFonts w:cs="Arial"/>
          <w:color w:val="000000" w:themeColor="text1"/>
          <w:szCs w:val="22"/>
        </w:rPr>
      </w:pPr>
      <w:r>
        <w:rPr>
          <w:color w:val="000000" w:themeColor="text1"/>
        </w:rPr>
        <w:t>2</w:t>
      </w:r>
      <w:r w:rsidRPr="00E3618B">
        <w:rPr>
          <w:color w:val="000000" w:themeColor="text1"/>
        </w:rPr>
        <w:tab/>
        <w:t xml:space="preserve"> The mechanism shall allow the Company, as defined by paragraph 2.8 of </w:t>
      </w:r>
      <w:r>
        <w:rPr>
          <w:color w:val="000000" w:themeColor="text1"/>
        </w:rPr>
        <w:br/>
      </w:r>
      <w:r w:rsidRPr="00E3618B">
        <w:rPr>
          <w:color w:val="000000" w:themeColor="text1"/>
        </w:rPr>
        <w:t xml:space="preserve">regulation 2 of this Annex, that is responsible for GHG fees on behalf of the ship, to make a single annual payment calculated from the data reported to the mechanism in accordance with paragraph </w:t>
      </w:r>
      <w:r>
        <w:rPr>
          <w:color w:val="000000" w:themeColor="text1"/>
        </w:rPr>
        <w:t>6</w:t>
      </w:r>
      <w:r w:rsidRPr="00E3618B">
        <w:rPr>
          <w:color w:val="000000" w:themeColor="text1"/>
        </w:rPr>
        <w:t xml:space="preserve"> of this regulation. In addition, the mechanism shall allow the Company the option to make contributions in advance, on a quarterly basis or as frequently as may be required, based on fuel oil purchased for consumption by the ship.</w:t>
      </w:r>
    </w:p>
    <w:p w14:paraId="5AD2BE8A" w14:textId="77777777" w:rsidR="008C0AB8" w:rsidRPr="00E3618B" w:rsidRDefault="008C0AB8" w:rsidP="008C0AB8">
      <w:pPr>
        <w:rPr>
          <w:rFonts w:cs="Arial"/>
          <w:color w:val="000000" w:themeColor="text1"/>
          <w:szCs w:val="22"/>
        </w:rPr>
      </w:pPr>
    </w:p>
    <w:p w14:paraId="61E4977C" w14:textId="77777777" w:rsidR="008C0AB8" w:rsidRPr="00E3618B" w:rsidRDefault="008C0AB8" w:rsidP="008C0AB8">
      <w:pPr>
        <w:rPr>
          <w:rFonts w:cs="Arial"/>
          <w:color w:val="000000" w:themeColor="text1"/>
          <w:szCs w:val="22"/>
        </w:rPr>
      </w:pPr>
      <w:r>
        <w:rPr>
          <w:rFonts w:cs="Arial"/>
          <w:color w:val="000000" w:themeColor="text1"/>
          <w:szCs w:val="22"/>
        </w:rPr>
        <w:t>3</w:t>
      </w:r>
      <w:r w:rsidRPr="00E3618B">
        <w:rPr>
          <w:rFonts w:cs="Arial"/>
          <w:color w:val="000000" w:themeColor="text1"/>
          <w:szCs w:val="22"/>
        </w:rPr>
        <w:tab/>
      </w:r>
      <w:r w:rsidRPr="00E3618B">
        <w:rPr>
          <w:color w:val="000000" w:themeColor="text1"/>
        </w:rPr>
        <w:t xml:space="preserve">For a minimum period of 5 years after entry into force of this chapter, </w:t>
      </w:r>
      <w:r w:rsidRPr="00E3618B">
        <w:rPr>
          <w:rFonts w:cs="Arial"/>
          <w:color w:val="000000" w:themeColor="text1"/>
          <w:szCs w:val="22"/>
        </w:rPr>
        <w:t>the total GHG fees to be collected annually via the mechanism shall be sufficient to:</w:t>
      </w:r>
    </w:p>
    <w:p w14:paraId="19946AB5" w14:textId="77777777" w:rsidR="008C0AB8" w:rsidRPr="00E3618B" w:rsidRDefault="008C0AB8" w:rsidP="008C0AB8">
      <w:pPr>
        <w:rPr>
          <w:rFonts w:cs="Arial"/>
          <w:color w:val="000000" w:themeColor="text1"/>
          <w:szCs w:val="22"/>
        </w:rPr>
      </w:pPr>
    </w:p>
    <w:p w14:paraId="6DCE627D" w14:textId="1B0CF898" w:rsidR="008C0AB8" w:rsidRPr="00E3618B" w:rsidRDefault="008C0AB8" w:rsidP="008C0AB8">
      <w:pPr>
        <w:ind w:left="1702" w:hanging="1702"/>
        <w:rPr>
          <w:rFonts w:cs="Arial"/>
          <w:color w:val="000000" w:themeColor="text1"/>
          <w:szCs w:val="22"/>
        </w:rPr>
      </w:pPr>
      <w:r w:rsidRPr="00E3618B">
        <w:rPr>
          <w:rFonts w:cs="Arial"/>
          <w:color w:val="000000" w:themeColor="text1"/>
          <w:szCs w:val="22"/>
        </w:rPr>
        <w:tab/>
        <w:t>.1</w:t>
      </w:r>
      <w:r w:rsidRPr="00E3618B">
        <w:rPr>
          <w:rFonts w:cs="Arial"/>
          <w:color w:val="000000" w:themeColor="text1"/>
          <w:szCs w:val="22"/>
        </w:rPr>
        <w:tab/>
        <w:t xml:space="preserve">provide feebates for the prevention of </w:t>
      </w:r>
      <w:r w:rsidR="00434FB7">
        <w:rPr>
          <w:rFonts w:cs="Arial"/>
          <w:color w:val="000000" w:themeColor="text1"/>
          <w:szCs w:val="22"/>
        </w:rPr>
        <w:t xml:space="preserve">up to </w:t>
      </w:r>
      <w:r w:rsidRPr="00E3618B">
        <w:rPr>
          <w:rFonts w:cs="Arial"/>
          <w:color w:val="000000" w:themeColor="text1"/>
          <w:szCs w:val="22"/>
        </w:rPr>
        <w:t>100</w:t>
      </w:r>
      <w:r w:rsidRPr="00E3618B">
        <w:rPr>
          <w:rStyle w:val="FootnoteReference"/>
          <w:rFonts w:cs="Arial"/>
          <w:color w:val="000000" w:themeColor="text1"/>
          <w:szCs w:val="22"/>
        </w:rPr>
        <w:footnoteReference w:id="20"/>
      </w:r>
      <w:r w:rsidRPr="00E3618B">
        <w:rPr>
          <w:rFonts w:cs="Arial"/>
          <w:color w:val="000000" w:themeColor="text1"/>
          <w:szCs w:val="22"/>
        </w:rPr>
        <w:t xml:space="preserve"> million tonnes of CO</w:t>
      </w:r>
      <w:r w:rsidRPr="00E3618B">
        <w:rPr>
          <w:rFonts w:cs="Arial"/>
          <w:color w:val="000000" w:themeColor="text1"/>
          <w:szCs w:val="22"/>
          <w:vertAlign w:val="subscript"/>
        </w:rPr>
        <w:t>2</w:t>
      </w:r>
      <w:r w:rsidRPr="00E3618B">
        <w:rPr>
          <w:rFonts w:cs="Arial"/>
          <w:color w:val="000000" w:themeColor="text1"/>
          <w:szCs w:val="22"/>
        </w:rPr>
        <w:t xml:space="preserve">e emissions </w:t>
      </w:r>
      <w:r w:rsidR="00D04524">
        <w:rPr>
          <w:rFonts w:cs="Arial"/>
          <w:color w:val="000000" w:themeColor="text1"/>
          <w:szCs w:val="22"/>
        </w:rPr>
        <w:t>due to</w:t>
      </w:r>
      <w:r w:rsidRPr="00E3618B">
        <w:rPr>
          <w:rFonts w:cs="Arial"/>
          <w:color w:val="000000" w:themeColor="text1"/>
          <w:szCs w:val="22"/>
        </w:rPr>
        <w:t xml:space="preserve"> the use </w:t>
      </w:r>
      <w:r w:rsidR="00D04524">
        <w:rPr>
          <w:rFonts w:cs="Arial"/>
          <w:color w:val="000000" w:themeColor="text1"/>
          <w:szCs w:val="22"/>
        </w:rPr>
        <w:t xml:space="preserve">by ships </w:t>
      </w:r>
      <w:r w:rsidRPr="00E3618B">
        <w:rPr>
          <w:rFonts w:cs="Arial"/>
          <w:color w:val="000000" w:themeColor="text1"/>
          <w:szCs w:val="22"/>
        </w:rPr>
        <w:t xml:space="preserve">of zero and near-zero GHG energy sources, at the feebate rate specified by regulation </w:t>
      </w:r>
      <w:r>
        <w:rPr>
          <w:rFonts w:cs="Arial"/>
          <w:color w:val="000000" w:themeColor="text1"/>
          <w:szCs w:val="22"/>
        </w:rPr>
        <w:t>41</w:t>
      </w:r>
      <w:r w:rsidRPr="00E3618B">
        <w:rPr>
          <w:rFonts w:cs="Arial"/>
          <w:color w:val="000000" w:themeColor="text1"/>
          <w:szCs w:val="22"/>
        </w:rPr>
        <w:t>.1 of this Annex; and</w:t>
      </w:r>
    </w:p>
    <w:p w14:paraId="21A55338" w14:textId="77777777" w:rsidR="008C0AB8" w:rsidRPr="00E3618B" w:rsidRDefault="008C0AB8" w:rsidP="008C0AB8">
      <w:pPr>
        <w:ind w:left="1702" w:hanging="1702"/>
        <w:rPr>
          <w:rFonts w:cs="Arial"/>
          <w:color w:val="000000" w:themeColor="text1"/>
          <w:szCs w:val="22"/>
        </w:rPr>
      </w:pPr>
    </w:p>
    <w:p w14:paraId="5E763DEB" w14:textId="77777777" w:rsidR="008C0AB8" w:rsidRPr="00E3618B" w:rsidRDefault="008C0AB8" w:rsidP="008C0AB8">
      <w:pPr>
        <w:ind w:left="1702" w:hanging="1702"/>
        <w:rPr>
          <w:rFonts w:cs="Arial"/>
          <w:color w:val="000000" w:themeColor="text1"/>
          <w:szCs w:val="22"/>
        </w:rPr>
      </w:pPr>
      <w:r w:rsidRPr="00E3618B">
        <w:rPr>
          <w:rFonts w:cs="Arial"/>
          <w:color w:val="000000" w:themeColor="text1"/>
          <w:szCs w:val="22"/>
        </w:rPr>
        <w:tab/>
        <w:t>.2</w:t>
      </w:r>
      <w:r w:rsidRPr="00E3618B">
        <w:rPr>
          <w:rFonts w:cs="Arial"/>
          <w:color w:val="000000" w:themeColor="text1"/>
          <w:szCs w:val="22"/>
        </w:rPr>
        <w:tab/>
        <w:t>provide the sum to be allocated annually to the IMO Net Zero Shipping Fund, in accordance with regulation 3</w:t>
      </w:r>
      <w:r>
        <w:rPr>
          <w:rFonts w:cs="Arial"/>
          <w:color w:val="000000" w:themeColor="text1"/>
          <w:szCs w:val="22"/>
        </w:rPr>
        <w:t>9</w:t>
      </w:r>
      <w:r w:rsidRPr="00E3618B">
        <w:rPr>
          <w:rFonts w:cs="Arial"/>
          <w:color w:val="000000" w:themeColor="text1"/>
          <w:szCs w:val="22"/>
        </w:rPr>
        <w:t>.</w:t>
      </w:r>
      <w:r>
        <w:rPr>
          <w:rFonts w:cs="Arial"/>
          <w:color w:val="000000" w:themeColor="text1"/>
          <w:szCs w:val="22"/>
        </w:rPr>
        <w:t>2</w:t>
      </w:r>
      <w:r w:rsidRPr="00E3618B">
        <w:rPr>
          <w:rFonts w:cs="Arial"/>
          <w:color w:val="000000" w:themeColor="text1"/>
          <w:szCs w:val="22"/>
        </w:rPr>
        <w:t xml:space="preserve"> of this Annex, unless feebates need to be provided for the prevention of more than 100 million tonnes of CO</w:t>
      </w:r>
      <w:r w:rsidRPr="00E3618B">
        <w:rPr>
          <w:rFonts w:cs="Arial"/>
          <w:color w:val="000000" w:themeColor="text1"/>
          <w:szCs w:val="22"/>
          <w:vertAlign w:val="subscript"/>
        </w:rPr>
        <w:t>2</w:t>
      </w:r>
      <w:r w:rsidRPr="00E3618B">
        <w:rPr>
          <w:rFonts w:cs="Arial"/>
          <w:color w:val="000000" w:themeColor="text1"/>
          <w:szCs w:val="22"/>
        </w:rPr>
        <w:t>e emissions in any calendar year.</w:t>
      </w:r>
    </w:p>
    <w:p w14:paraId="79325182" w14:textId="77777777" w:rsidR="008C0AB8" w:rsidRDefault="008C0AB8" w:rsidP="008C0AB8">
      <w:pPr>
        <w:rPr>
          <w:rFonts w:cs="Arial"/>
          <w:color w:val="000000" w:themeColor="text1"/>
          <w:szCs w:val="22"/>
        </w:rPr>
      </w:pPr>
    </w:p>
    <w:p w14:paraId="1A6DF312" w14:textId="3CC16A09" w:rsidR="008C0AB8" w:rsidRDefault="008C0AB8" w:rsidP="008C0AB8">
      <w:pPr>
        <w:rPr>
          <w:rFonts w:cs="Arial"/>
          <w:color w:val="000000" w:themeColor="text1"/>
          <w:szCs w:val="22"/>
        </w:rPr>
      </w:pPr>
      <w:r>
        <w:rPr>
          <w:rFonts w:cs="Arial"/>
          <w:color w:val="000000" w:themeColor="text1"/>
          <w:szCs w:val="22"/>
        </w:rPr>
        <w:t>4</w:t>
      </w:r>
      <w:r w:rsidRPr="00E3618B">
        <w:rPr>
          <w:rFonts w:cs="Arial"/>
          <w:color w:val="000000" w:themeColor="text1"/>
          <w:szCs w:val="22"/>
        </w:rPr>
        <w:tab/>
        <w:t xml:space="preserve">To meet the requirements specified under paragraph </w:t>
      </w:r>
      <w:r>
        <w:rPr>
          <w:rFonts w:cs="Arial"/>
          <w:color w:val="000000" w:themeColor="text1"/>
          <w:szCs w:val="22"/>
        </w:rPr>
        <w:t>3</w:t>
      </w:r>
      <w:r w:rsidRPr="00E3618B">
        <w:rPr>
          <w:rFonts w:cs="Arial"/>
          <w:color w:val="000000" w:themeColor="text1"/>
          <w:szCs w:val="22"/>
        </w:rPr>
        <w:t xml:space="preserve"> of this regulation, </w:t>
      </w:r>
      <w:r w:rsidRPr="00E3618B">
        <w:rPr>
          <w:color w:val="000000" w:themeColor="text1"/>
        </w:rPr>
        <w:t>for a minimum period of 5 years after entry into force of this chapter,</w:t>
      </w:r>
      <w:r w:rsidRPr="00E3618B">
        <w:rPr>
          <w:rFonts w:cs="Arial"/>
          <w:color w:val="000000" w:themeColor="text1"/>
          <w:szCs w:val="22"/>
        </w:rPr>
        <w:t xml:space="preserve"> the annual GHG fee for each ship to which this regulation applies shall be fixed at a rate and value of [US$</w:t>
      </w:r>
      <w:r w:rsidR="003B6D4D">
        <w:rPr>
          <w:rFonts w:cs="Arial"/>
          <w:color w:val="000000" w:themeColor="text1"/>
          <w:szCs w:val="22"/>
        </w:rPr>
        <w:t>18.</w:t>
      </w:r>
      <w:r w:rsidR="003A65F5">
        <w:rPr>
          <w:rFonts w:cs="Arial"/>
          <w:color w:val="000000" w:themeColor="text1"/>
          <w:szCs w:val="22"/>
        </w:rPr>
        <w:t>75</w:t>
      </w:r>
      <w:r w:rsidRPr="00E3618B">
        <w:rPr>
          <w:rFonts w:cs="Arial"/>
          <w:color w:val="000000" w:themeColor="text1"/>
          <w:szCs w:val="22"/>
        </w:rPr>
        <w:t>]</w:t>
      </w:r>
      <w:r w:rsidRPr="00E3618B">
        <w:rPr>
          <w:rStyle w:val="FootnoteReference"/>
          <w:rFonts w:cs="Arial"/>
          <w:color w:val="000000" w:themeColor="text1"/>
          <w:szCs w:val="22"/>
        </w:rPr>
        <w:footnoteReference w:id="21"/>
      </w:r>
      <w:r w:rsidRPr="00E3618B">
        <w:rPr>
          <w:rFonts w:cs="Arial"/>
          <w:color w:val="000000" w:themeColor="text1"/>
          <w:szCs w:val="22"/>
        </w:rPr>
        <w:t xml:space="preserve"> per tonne of CO</w:t>
      </w:r>
      <w:r w:rsidRPr="00E3618B">
        <w:rPr>
          <w:rFonts w:cs="Arial"/>
          <w:color w:val="000000" w:themeColor="text1"/>
          <w:szCs w:val="22"/>
          <w:vertAlign w:val="subscript"/>
        </w:rPr>
        <w:t>2</w:t>
      </w:r>
      <w:r w:rsidRPr="00E3618B">
        <w:rPr>
          <w:rFonts w:cs="Arial"/>
          <w:color w:val="000000" w:themeColor="text1"/>
          <w:szCs w:val="22"/>
        </w:rPr>
        <w:t>e emitted</w:t>
      </w:r>
      <w:r>
        <w:rPr>
          <w:rStyle w:val="FootnoteReference"/>
          <w:rFonts w:cs="Arial"/>
          <w:color w:val="000000" w:themeColor="text1"/>
          <w:szCs w:val="22"/>
        </w:rPr>
        <w:footnoteReference w:id="22"/>
      </w:r>
      <w:r w:rsidRPr="00E3618B">
        <w:rPr>
          <w:rFonts w:cs="Arial"/>
          <w:color w:val="000000" w:themeColor="text1"/>
          <w:szCs w:val="22"/>
        </w:rPr>
        <w:t>, with the equivalent rate and value of the contribution per tonne of fuel oil consumed to be determined by the Organization, taking into account Guidelines adopted by the Organization.</w:t>
      </w:r>
      <w:r w:rsidRPr="00E3618B">
        <w:rPr>
          <w:rStyle w:val="FootnoteReference"/>
          <w:rFonts w:cs="Arial"/>
          <w:color w:val="000000" w:themeColor="text1"/>
          <w:szCs w:val="22"/>
        </w:rPr>
        <w:footnoteReference w:id="23"/>
      </w:r>
      <w:r w:rsidRPr="00E3618B">
        <w:rPr>
          <w:rFonts w:cs="Arial"/>
          <w:color w:val="000000" w:themeColor="text1"/>
          <w:szCs w:val="22"/>
        </w:rPr>
        <w:t xml:space="preserve"> </w:t>
      </w:r>
    </w:p>
    <w:p w14:paraId="0712C359" w14:textId="77777777" w:rsidR="008C0AB8" w:rsidRPr="008E34A3" w:rsidRDefault="008C0AB8" w:rsidP="008C0AB8">
      <w:pPr>
        <w:rPr>
          <w:rFonts w:cs="Arial"/>
          <w:color w:val="000000" w:themeColor="text1"/>
          <w:szCs w:val="22"/>
        </w:rPr>
      </w:pPr>
    </w:p>
    <w:p w14:paraId="352D9C6F" w14:textId="35ADCFA3" w:rsidR="008C0AB8" w:rsidRDefault="008C0AB8" w:rsidP="008C0AB8">
      <w:pPr>
        <w:rPr>
          <w:rFonts w:cs="Arial"/>
          <w:color w:val="000000" w:themeColor="text1"/>
          <w:szCs w:val="22"/>
        </w:rPr>
      </w:pPr>
      <w:r w:rsidRPr="008E34A3">
        <w:rPr>
          <w:rFonts w:cs="Arial"/>
          <w:color w:val="000000" w:themeColor="text1"/>
          <w:szCs w:val="22"/>
        </w:rPr>
        <w:t>5</w:t>
      </w:r>
      <w:r w:rsidRPr="008E34A3">
        <w:rPr>
          <w:rFonts w:cs="Arial"/>
          <w:color w:val="000000" w:themeColor="text1"/>
          <w:szCs w:val="22"/>
        </w:rPr>
        <w:tab/>
        <w:t>For ships emitting zero CO</w:t>
      </w:r>
      <w:r w:rsidRPr="00A27342">
        <w:rPr>
          <w:rFonts w:cs="Arial"/>
          <w:color w:val="000000" w:themeColor="text1"/>
          <w:szCs w:val="22"/>
          <w:vertAlign w:val="subscript"/>
        </w:rPr>
        <w:t>2</w:t>
      </w:r>
      <w:r w:rsidRPr="008E34A3">
        <w:rPr>
          <w:rFonts w:cs="Arial"/>
          <w:color w:val="000000" w:themeColor="text1"/>
          <w:szCs w:val="22"/>
        </w:rPr>
        <w:t>e emissions, taking into account Guidelines adopted by the Organization</w:t>
      </w:r>
      <w:r>
        <w:rPr>
          <w:rStyle w:val="FootnoteReference"/>
          <w:rFonts w:cs="Arial"/>
          <w:color w:val="000000" w:themeColor="text1"/>
          <w:szCs w:val="22"/>
        </w:rPr>
        <w:footnoteReference w:id="24"/>
      </w:r>
      <w:r w:rsidRPr="008E34A3">
        <w:rPr>
          <w:rFonts w:cs="Arial"/>
          <w:color w:val="000000" w:themeColor="text1"/>
          <w:szCs w:val="22"/>
        </w:rPr>
        <w:t xml:space="preserve"> , the GHG fee required under paragraph 1 of this regulation shall be zero.</w:t>
      </w:r>
    </w:p>
    <w:p w14:paraId="23EDBECC" w14:textId="625B3724" w:rsidR="008C0AB8" w:rsidRDefault="008C0AB8" w:rsidP="008C0AB8">
      <w:pPr>
        <w:rPr>
          <w:rFonts w:cs="Arial"/>
          <w:color w:val="000000" w:themeColor="text1"/>
          <w:szCs w:val="22"/>
        </w:rPr>
      </w:pPr>
      <w:r>
        <w:rPr>
          <w:rFonts w:cs="Arial"/>
          <w:color w:val="000000" w:themeColor="text1"/>
          <w:szCs w:val="22"/>
        </w:rPr>
        <w:lastRenderedPageBreak/>
        <w:t>6</w:t>
      </w:r>
      <w:r w:rsidRPr="00E3618B">
        <w:rPr>
          <w:rFonts w:cs="Arial"/>
          <w:color w:val="000000" w:themeColor="text1"/>
          <w:szCs w:val="22"/>
        </w:rPr>
        <w:tab/>
        <w:t xml:space="preserve">Within three months after the end of each calendar year, each ship shall provide the Organization, via the mechanism, with fuel oil consumption data as reported to the Administration, or any organization duly authorized by it, in accordance with regulations 27.3, 27.4 or 27.5 of this Annex. </w:t>
      </w:r>
    </w:p>
    <w:p w14:paraId="626C392E" w14:textId="77777777" w:rsidR="00390E1E" w:rsidRDefault="00390E1E" w:rsidP="008C0AB8">
      <w:pPr>
        <w:rPr>
          <w:rFonts w:cs="Arial"/>
          <w:color w:val="000000" w:themeColor="text1"/>
          <w:szCs w:val="22"/>
        </w:rPr>
      </w:pPr>
    </w:p>
    <w:p w14:paraId="72BD5DB7" w14:textId="77777777" w:rsidR="008C0AB8" w:rsidRDefault="008C0AB8" w:rsidP="008C0AB8">
      <w:pPr>
        <w:rPr>
          <w:rFonts w:cs="Arial"/>
          <w:color w:val="000000" w:themeColor="text1"/>
          <w:szCs w:val="22"/>
        </w:rPr>
      </w:pPr>
      <w:r w:rsidRPr="008E34A3">
        <w:rPr>
          <w:rFonts w:cs="Arial"/>
          <w:color w:val="000000" w:themeColor="text1"/>
          <w:szCs w:val="22"/>
        </w:rPr>
        <w:t>7</w:t>
      </w:r>
      <w:r w:rsidRPr="008E34A3">
        <w:rPr>
          <w:rFonts w:cs="Arial"/>
          <w:color w:val="000000" w:themeColor="text1"/>
          <w:szCs w:val="22"/>
        </w:rPr>
        <w:tab/>
        <w:t>No later than one month after receiving fuel oil consumption data from each ship, the Organization shall provide the ship with a Provisional Statement, accessible via the mechanism to the Company responsible for that ship, which sets out the annual CO2e emissions of the ship, the CO2e emissions prevented by the use of a zero and/or near-zero fuel, technology and/or energy source which is eligible for feebates pursuant to regulation 41 of this Annex, and the annual GHG fee which is due to be received by 30 April. If the ship is eligible for a feebate pursuant to regulation 41 of this Annex and the feebate to be received is less than the annual GHG fee, this shall be deducted from total annual GHG fee set out in the Provisional Statement.</w:t>
      </w:r>
    </w:p>
    <w:p w14:paraId="65C12BDD" w14:textId="77777777" w:rsidR="008C0AB8" w:rsidRDefault="008C0AB8" w:rsidP="008C0AB8">
      <w:pPr>
        <w:rPr>
          <w:rFonts w:cs="Arial"/>
          <w:color w:val="000000" w:themeColor="text1"/>
          <w:szCs w:val="22"/>
        </w:rPr>
      </w:pPr>
    </w:p>
    <w:p w14:paraId="3EBCBD30" w14:textId="77777777" w:rsidR="008C0AB8" w:rsidRDefault="008C0AB8" w:rsidP="008C0AB8">
      <w:pPr>
        <w:rPr>
          <w:rFonts w:cs="Arial"/>
          <w:color w:val="000000" w:themeColor="text1"/>
          <w:szCs w:val="22"/>
        </w:rPr>
      </w:pPr>
      <w:r>
        <w:rPr>
          <w:rFonts w:cs="Arial"/>
          <w:color w:val="000000" w:themeColor="text1"/>
          <w:szCs w:val="22"/>
        </w:rPr>
        <w:t>8</w:t>
      </w:r>
      <w:r w:rsidRPr="00E3618B">
        <w:rPr>
          <w:rFonts w:cs="Arial"/>
          <w:color w:val="000000" w:themeColor="text1"/>
          <w:szCs w:val="22"/>
        </w:rPr>
        <w:tab/>
        <w:t xml:space="preserve">No later than one month after receiving the annual GHG fee from each ship, as required under paragraph 1 of this regulation, the Organization, via the maritime GHG emissions pricing mechanism, shall provide an Annual Account Statement to each ship confirming that the total GHG fee to be made for that ship for the previous calendar year, including the portion thereof as provided for in paragraphs </w:t>
      </w:r>
      <w:r>
        <w:rPr>
          <w:rFonts w:cs="Arial"/>
          <w:color w:val="000000" w:themeColor="text1"/>
          <w:szCs w:val="22"/>
        </w:rPr>
        <w:t>11</w:t>
      </w:r>
      <w:r w:rsidRPr="00E3618B">
        <w:rPr>
          <w:rFonts w:cs="Arial"/>
          <w:color w:val="000000" w:themeColor="text1"/>
          <w:szCs w:val="22"/>
        </w:rPr>
        <w:t xml:space="preserve"> and </w:t>
      </w:r>
      <w:r>
        <w:rPr>
          <w:rFonts w:cs="Arial"/>
          <w:color w:val="000000" w:themeColor="text1"/>
          <w:szCs w:val="22"/>
        </w:rPr>
        <w:t>12</w:t>
      </w:r>
      <w:r w:rsidRPr="00E3618B">
        <w:rPr>
          <w:rFonts w:cs="Arial"/>
          <w:color w:val="000000" w:themeColor="text1"/>
          <w:szCs w:val="22"/>
        </w:rPr>
        <w:t xml:space="preserve"> of this regulation, has been made.</w:t>
      </w:r>
    </w:p>
    <w:p w14:paraId="69B2B699" w14:textId="77777777" w:rsidR="008C0AB8" w:rsidRPr="00E3618B" w:rsidRDefault="008C0AB8" w:rsidP="008C0AB8">
      <w:pPr>
        <w:rPr>
          <w:rFonts w:cs="Arial"/>
          <w:color w:val="000000" w:themeColor="text1"/>
          <w:szCs w:val="22"/>
        </w:rPr>
      </w:pPr>
    </w:p>
    <w:p w14:paraId="0813F576" w14:textId="77777777" w:rsidR="008C0AB8" w:rsidRPr="00E3618B" w:rsidRDefault="008C0AB8" w:rsidP="008C0AB8">
      <w:pPr>
        <w:rPr>
          <w:rFonts w:cs="Arial"/>
          <w:color w:val="000000" w:themeColor="text1"/>
          <w:szCs w:val="22"/>
        </w:rPr>
      </w:pPr>
      <w:bookmarkStart w:id="15" w:name="_Hlk164197963"/>
      <w:r>
        <w:rPr>
          <w:rFonts w:cs="Arial"/>
          <w:color w:val="000000" w:themeColor="text1"/>
          <w:szCs w:val="22"/>
        </w:rPr>
        <w:t>9</w:t>
      </w:r>
      <w:r w:rsidRPr="00E3618B">
        <w:rPr>
          <w:rFonts w:cs="Arial"/>
          <w:color w:val="000000" w:themeColor="text1"/>
          <w:szCs w:val="22"/>
        </w:rPr>
        <w:tab/>
        <w:t xml:space="preserve">Following receipt of the Annual Account Statement, the ship shall promptly provide the Administration, or any organization duly authorized by it, with the Annual Account Statement. </w:t>
      </w:r>
    </w:p>
    <w:p w14:paraId="00BC563C" w14:textId="77777777" w:rsidR="008C0AB8" w:rsidRPr="00E3618B" w:rsidRDefault="008C0AB8" w:rsidP="008C0AB8">
      <w:pPr>
        <w:rPr>
          <w:rFonts w:cs="Arial"/>
          <w:color w:val="000000" w:themeColor="text1"/>
          <w:szCs w:val="22"/>
        </w:rPr>
      </w:pPr>
    </w:p>
    <w:bookmarkEnd w:id="15"/>
    <w:p w14:paraId="5444EF46" w14:textId="77777777" w:rsidR="008C0AB8" w:rsidRPr="00E3618B" w:rsidRDefault="008C0AB8" w:rsidP="008C0AB8">
      <w:pPr>
        <w:rPr>
          <w:rFonts w:cs="Arial"/>
          <w:color w:val="000000" w:themeColor="text1"/>
          <w:szCs w:val="22"/>
        </w:rPr>
      </w:pPr>
      <w:r>
        <w:rPr>
          <w:rFonts w:cs="Arial"/>
          <w:color w:val="000000" w:themeColor="text1"/>
          <w:szCs w:val="22"/>
        </w:rPr>
        <w:t>10</w:t>
      </w:r>
      <w:r w:rsidRPr="00E3618B">
        <w:rPr>
          <w:rFonts w:cs="Arial"/>
          <w:color w:val="000000" w:themeColor="text1"/>
          <w:szCs w:val="22"/>
        </w:rPr>
        <w:t xml:space="preserve"> </w:t>
      </w:r>
      <w:r w:rsidRPr="00E3618B">
        <w:rPr>
          <w:rFonts w:cs="Arial"/>
          <w:color w:val="000000" w:themeColor="text1"/>
          <w:szCs w:val="22"/>
        </w:rPr>
        <w:tab/>
        <w:t xml:space="preserve">No later than one month after receiving the Annual Account Statement from the ship, the Administration, or any organization duly authorized by it, shall issue a Statement of Compliance in accordance with regulation 6.9 of this Annex.  </w:t>
      </w:r>
    </w:p>
    <w:p w14:paraId="739C221A" w14:textId="77777777" w:rsidR="008C0AB8" w:rsidRPr="00E3618B" w:rsidRDefault="008C0AB8" w:rsidP="008C0AB8">
      <w:pPr>
        <w:rPr>
          <w:rFonts w:cs="Arial"/>
          <w:color w:val="000000" w:themeColor="text1"/>
          <w:szCs w:val="22"/>
        </w:rPr>
      </w:pPr>
    </w:p>
    <w:p w14:paraId="47D5244C"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Pr>
          <w:rFonts w:cs="Arial"/>
          <w:color w:val="000000" w:themeColor="text1"/>
          <w:szCs w:val="22"/>
        </w:rPr>
        <w:t>1</w:t>
      </w:r>
      <w:r w:rsidRPr="00E3618B">
        <w:rPr>
          <w:rFonts w:cs="Arial"/>
          <w:color w:val="000000" w:themeColor="text1"/>
          <w:szCs w:val="22"/>
        </w:rPr>
        <w:tab/>
        <w:t xml:space="preserve">In the event of the transfer of a ship from one Administration to another, the annual GHG fee made by the ship in accordance with paragraph 1 of this regulation shall cover the period of the calendar year corresponding to the losing Administration. </w:t>
      </w:r>
    </w:p>
    <w:p w14:paraId="56DE6454" w14:textId="77777777" w:rsidR="008C0AB8" w:rsidRPr="00E3618B" w:rsidRDefault="008C0AB8" w:rsidP="008C0AB8">
      <w:pPr>
        <w:rPr>
          <w:rFonts w:cs="Arial"/>
          <w:color w:val="000000" w:themeColor="text1"/>
          <w:szCs w:val="22"/>
        </w:rPr>
      </w:pPr>
    </w:p>
    <w:p w14:paraId="2CBBD9DC"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Pr>
          <w:rFonts w:cs="Arial"/>
          <w:color w:val="000000" w:themeColor="text1"/>
          <w:szCs w:val="22"/>
        </w:rPr>
        <w:t>2</w:t>
      </w:r>
      <w:r w:rsidRPr="00E3618B">
        <w:rPr>
          <w:rFonts w:cs="Arial"/>
          <w:color w:val="000000" w:themeColor="text1"/>
          <w:szCs w:val="22"/>
        </w:rPr>
        <w:tab/>
        <w:t xml:space="preserve">In the event of a change from one Company to another, the annual GHG fee made by the ship in accordance with paragraph 1 of this regulation shall cover the portion of the calendar year corresponding to the previous Company. </w:t>
      </w:r>
    </w:p>
    <w:p w14:paraId="3DA1A39D" w14:textId="77777777" w:rsidR="008C0AB8" w:rsidRPr="00E3618B" w:rsidRDefault="008C0AB8" w:rsidP="008C0AB8">
      <w:pPr>
        <w:rPr>
          <w:rFonts w:cs="Arial"/>
          <w:color w:val="000000" w:themeColor="text1"/>
          <w:szCs w:val="22"/>
        </w:rPr>
      </w:pPr>
    </w:p>
    <w:p w14:paraId="7D0E9DF1"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Pr>
          <w:rFonts w:cs="Arial"/>
          <w:color w:val="000000" w:themeColor="text1"/>
          <w:szCs w:val="22"/>
        </w:rPr>
        <w:t>3</w:t>
      </w:r>
      <w:r w:rsidRPr="00E3618B">
        <w:rPr>
          <w:rFonts w:cs="Arial"/>
          <w:color w:val="000000" w:themeColor="text1"/>
          <w:szCs w:val="22"/>
        </w:rPr>
        <w:tab/>
        <w:t xml:space="preserve">In the event of change from one Administration to another and from one Company to another concurrently, paragraph </w:t>
      </w:r>
      <w:r>
        <w:rPr>
          <w:rFonts w:cs="Arial"/>
          <w:color w:val="000000" w:themeColor="text1"/>
          <w:szCs w:val="22"/>
        </w:rPr>
        <w:t>11</w:t>
      </w:r>
      <w:r w:rsidRPr="00E3618B">
        <w:rPr>
          <w:rFonts w:cs="Arial"/>
          <w:color w:val="000000" w:themeColor="text1"/>
          <w:szCs w:val="22"/>
        </w:rPr>
        <w:t xml:space="preserve"> of this regulation shall apply.</w:t>
      </w:r>
    </w:p>
    <w:p w14:paraId="7123AF61" w14:textId="77777777" w:rsidR="00451570" w:rsidRDefault="00451570" w:rsidP="008C0AB8">
      <w:pPr>
        <w:rPr>
          <w:rFonts w:cs="Arial"/>
          <w:b/>
          <w:bCs/>
          <w:i/>
          <w:iCs/>
          <w:szCs w:val="22"/>
        </w:rPr>
      </w:pPr>
    </w:p>
    <w:p w14:paraId="60D1ACF7" w14:textId="77777777" w:rsidR="008C0AB8" w:rsidRPr="00B12ED8" w:rsidRDefault="008C0AB8" w:rsidP="008C0AB8">
      <w:pPr>
        <w:rPr>
          <w:rFonts w:cs="Arial"/>
          <w:b/>
          <w:bCs/>
          <w:i/>
          <w:iCs/>
          <w:szCs w:val="22"/>
        </w:rPr>
      </w:pPr>
      <w:r w:rsidRPr="00B12ED8">
        <w:rPr>
          <w:rFonts w:cs="Arial"/>
          <w:b/>
          <w:bCs/>
          <w:i/>
          <w:iCs/>
          <w:szCs w:val="22"/>
        </w:rPr>
        <w:t>[.10.5</w:t>
      </w:r>
      <w:r w:rsidRPr="00B12ED8">
        <w:rPr>
          <w:rFonts w:cs="Arial"/>
          <w:b/>
          <w:bCs/>
          <w:i/>
          <w:iCs/>
          <w:szCs w:val="22"/>
        </w:rPr>
        <w:tab/>
        <w:t>Central management/oversight of collected revenue (regulation X)]</w:t>
      </w:r>
    </w:p>
    <w:p w14:paraId="66E57345" w14:textId="77777777" w:rsidR="008C0AB8" w:rsidRPr="00B12ED8" w:rsidRDefault="008C0AB8" w:rsidP="008C0AB8">
      <w:pPr>
        <w:rPr>
          <w:rFonts w:cs="Arial"/>
          <w:b/>
          <w:bCs/>
          <w:i/>
          <w:iCs/>
          <w:szCs w:val="22"/>
        </w:rPr>
      </w:pPr>
      <w:r w:rsidRPr="00B12ED8">
        <w:rPr>
          <w:rFonts w:cs="Arial"/>
          <w:b/>
          <w:bCs/>
          <w:i/>
          <w:iCs/>
          <w:szCs w:val="22"/>
        </w:rPr>
        <w:t>[.10.6</w:t>
      </w:r>
      <w:r w:rsidRPr="00B12ED8">
        <w:rPr>
          <w:rFonts w:cs="Arial"/>
          <w:b/>
          <w:bCs/>
          <w:i/>
          <w:iCs/>
          <w:szCs w:val="22"/>
        </w:rPr>
        <w:tab/>
        <w:t>Distribution of revenue (regulation X)]</w:t>
      </w:r>
    </w:p>
    <w:p w14:paraId="0B83FB5B" w14:textId="77777777" w:rsidR="008C0AB8" w:rsidRDefault="008C0AB8" w:rsidP="008C0AB8">
      <w:pPr>
        <w:rPr>
          <w:rFonts w:cs="Arial"/>
          <w:b/>
          <w:bCs/>
          <w:szCs w:val="22"/>
        </w:rPr>
      </w:pPr>
    </w:p>
    <w:p w14:paraId="614E8B01" w14:textId="77777777" w:rsidR="008C0AB8" w:rsidRPr="00742449" w:rsidRDefault="008C0AB8" w:rsidP="008C0AB8">
      <w:pPr>
        <w:rPr>
          <w:rFonts w:cs="Arial"/>
          <w:b/>
          <w:bCs/>
          <w:i/>
          <w:iCs/>
          <w:szCs w:val="22"/>
        </w:rPr>
      </w:pPr>
      <w:r w:rsidRPr="00742449">
        <w:rPr>
          <w:rFonts w:cs="Arial"/>
          <w:b/>
          <w:bCs/>
          <w:i/>
          <w:iCs/>
          <w:szCs w:val="22"/>
        </w:rPr>
        <w:t xml:space="preserve">[NB: While regulations 40 and 41 both address central management/oversight of collected revenue, as well as distribution of revenue, regulation 42 addresses these issues separately for the surplus revenue allocated to the IMO Net Zero Shipping Fund.] </w:t>
      </w:r>
    </w:p>
    <w:p w14:paraId="595FF22F" w14:textId="77777777" w:rsidR="00390E1E" w:rsidRDefault="00390E1E" w:rsidP="008C0AB8">
      <w:pPr>
        <w:rPr>
          <w:rFonts w:cs="Arial"/>
          <w:b/>
          <w:bCs/>
          <w:color w:val="000000" w:themeColor="text1"/>
          <w:szCs w:val="22"/>
        </w:rPr>
      </w:pPr>
    </w:p>
    <w:p w14:paraId="01B6BE15" w14:textId="098BF5C3"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41</w:t>
      </w:r>
    </w:p>
    <w:p w14:paraId="5AA6DC8E" w14:textId="77777777" w:rsidR="008C0AB8" w:rsidRPr="00E3618B" w:rsidRDefault="008C0AB8" w:rsidP="008C0AB8">
      <w:pPr>
        <w:rPr>
          <w:rFonts w:cs="Arial"/>
          <w:b/>
          <w:bCs/>
          <w:i/>
          <w:iCs/>
          <w:color w:val="000000" w:themeColor="text1"/>
          <w:szCs w:val="22"/>
        </w:rPr>
      </w:pPr>
      <w:r w:rsidRPr="00E3618B">
        <w:rPr>
          <w:rFonts w:cs="Arial"/>
          <w:i/>
          <w:iCs/>
          <w:color w:val="000000" w:themeColor="text1"/>
          <w:szCs w:val="22"/>
        </w:rPr>
        <w:t xml:space="preserve">Feebates disbursed via the </w:t>
      </w:r>
      <w:bookmarkStart w:id="16" w:name="_Hlk163662906"/>
      <w:r w:rsidRPr="00E3618B">
        <w:rPr>
          <w:rFonts w:cs="Arial"/>
          <w:i/>
          <w:iCs/>
          <w:color w:val="000000" w:themeColor="text1"/>
          <w:szCs w:val="22"/>
        </w:rPr>
        <w:t>maritime GHG emissions pricing mechanism</w:t>
      </w:r>
      <w:bookmarkEnd w:id="16"/>
    </w:p>
    <w:p w14:paraId="4E6824E1" w14:textId="77777777" w:rsidR="008C0AB8" w:rsidRPr="00E3618B" w:rsidRDefault="008C0AB8" w:rsidP="008C0AB8">
      <w:pPr>
        <w:rPr>
          <w:rFonts w:cs="Arial"/>
          <w:b/>
          <w:bCs/>
          <w:color w:val="000000" w:themeColor="text1"/>
          <w:szCs w:val="22"/>
        </w:rPr>
      </w:pPr>
    </w:p>
    <w:p w14:paraId="0C5BAECC" w14:textId="2AB4A8BF" w:rsidR="008C0AB8" w:rsidRPr="00E3618B" w:rsidRDefault="008C0AB8" w:rsidP="008C0AB8">
      <w:pPr>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 xml:space="preserve">Each ship using an eligible zero or near-zero GHG fuel, </w:t>
      </w:r>
      <w:bookmarkStart w:id="17" w:name="_Hlk164196534"/>
      <w:r w:rsidRPr="00E3618B">
        <w:rPr>
          <w:rFonts w:cs="Arial"/>
          <w:color w:val="000000" w:themeColor="text1"/>
          <w:szCs w:val="22"/>
        </w:rPr>
        <w:t>technology and/or energy source</w:t>
      </w:r>
      <w:bookmarkEnd w:id="17"/>
      <w:r w:rsidRPr="00E3618B">
        <w:rPr>
          <w:rFonts w:cs="Arial"/>
          <w:color w:val="000000" w:themeColor="text1"/>
          <w:szCs w:val="22"/>
        </w:rPr>
        <w:t xml:space="preserve">, as determined by the Organization, shall receive a feebate, disbursed by the </w:t>
      </w:r>
      <w:r w:rsidRPr="00E3618B">
        <w:rPr>
          <w:rFonts w:cs="Arial"/>
          <w:color w:val="000000" w:themeColor="text1"/>
          <w:szCs w:val="22"/>
        </w:rPr>
        <w:lastRenderedPageBreak/>
        <w:t>Organization via the mechanism, based on a feebate rate of US$[100] per tonne of CO</w:t>
      </w:r>
      <w:r w:rsidRPr="00E3618B">
        <w:rPr>
          <w:rFonts w:cs="Arial"/>
          <w:color w:val="000000" w:themeColor="text1"/>
          <w:szCs w:val="22"/>
          <w:vertAlign w:val="subscript"/>
        </w:rPr>
        <w:t>2</w:t>
      </w:r>
      <w:r w:rsidRPr="00E3618B">
        <w:rPr>
          <w:rFonts w:cs="Arial"/>
          <w:color w:val="000000" w:themeColor="text1"/>
          <w:szCs w:val="22"/>
        </w:rPr>
        <w:t>e</w:t>
      </w:r>
      <w:r w:rsidRPr="00E3618B">
        <w:rPr>
          <w:rFonts w:cs="Arial"/>
          <w:color w:val="000000" w:themeColor="text1"/>
          <w:szCs w:val="22"/>
          <w:vertAlign w:val="subscript"/>
        </w:rPr>
        <w:t xml:space="preserve"> </w:t>
      </w:r>
      <w:r w:rsidRPr="00E3618B">
        <w:rPr>
          <w:rFonts w:cs="Arial"/>
          <w:color w:val="000000" w:themeColor="text1"/>
          <w:szCs w:val="22"/>
        </w:rPr>
        <w:t>emissions prevented each calendar year</w:t>
      </w:r>
      <w:r w:rsidR="00AA61DE">
        <w:rPr>
          <w:rFonts w:cs="Arial"/>
          <w:color w:val="000000" w:themeColor="text1"/>
          <w:szCs w:val="22"/>
        </w:rPr>
        <w:t xml:space="preserve"> on a WTW basis</w:t>
      </w:r>
      <w:r w:rsidRPr="00E3618B">
        <w:rPr>
          <w:rFonts w:cs="Arial"/>
          <w:color w:val="000000" w:themeColor="text1"/>
          <w:szCs w:val="22"/>
        </w:rPr>
        <w:t>, with the equivalent feebate rate per tonne of fuel consumed each calendar year to be determined by the Organization, taking into account Guidelines adopted by the Organization.</w:t>
      </w:r>
      <w:r w:rsidRPr="00E3618B">
        <w:rPr>
          <w:rStyle w:val="FootnoteReference"/>
          <w:rFonts w:cs="Arial"/>
          <w:color w:val="000000" w:themeColor="text1"/>
          <w:szCs w:val="22"/>
        </w:rPr>
        <w:footnoteReference w:id="25"/>
      </w:r>
    </w:p>
    <w:p w14:paraId="344D8088" w14:textId="77777777" w:rsidR="008C0AB8" w:rsidRPr="00E3618B" w:rsidRDefault="008C0AB8" w:rsidP="008C0AB8">
      <w:pPr>
        <w:rPr>
          <w:rFonts w:cs="Arial"/>
          <w:color w:val="000000" w:themeColor="text1"/>
          <w:szCs w:val="22"/>
        </w:rPr>
      </w:pPr>
    </w:p>
    <w:p w14:paraId="1C48B2A2" w14:textId="77777777" w:rsidR="008C0AB8" w:rsidRPr="00E3618B" w:rsidRDefault="008C0AB8" w:rsidP="008C0AB8">
      <w:pPr>
        <w:rPr>
          <w:rFonts w:cs="Arial"/>
          <w:color w:val="000000" w:themeColor="text1"/>
          <w:szCs w:val="22"/>
        </w:rPr>
      </w:pPr>
      <w:r w:rsidRPr="00E3618B">
        <w:rPr>
          <w:rFonts w:cs="Arial"/>
          <w:color w:val="000000" w:themeColor="text1"/>
          <w:szCs w:val="22"/>
        </w:rPr>
        <w:t>2</w:t>
      </w:r>
      <w:r w:rsidRPr="00E3618B">
        <w:rPr>
          <w:rFonts w:cs="Arial"/>
          <w:color w:val="000000" w:themeColor="text1"/>
          <w:szCs w:val="22"/>
        </w:rPr>
        <w:tab/>
        <w:t>Within three months after the end of each calendar year, each ship eligible to receive a feebate for CO</w:t>
      </w:r>
      <w:r w:rsidRPr="00E3618B">
        <w:rPr>
          <w:rFonts w:cs="Arial"/>
          <w:color w:val="000000" w:themeColor="text1"/>
          <w:szCs w:val="22"/>
          <w:vertAlign w:val="subscript"/>
        </w:rPr>
        <w:t>2</w:t>
      </w:r>
      <w:r w:rsidRPr="00E3618B">
        <w:rPr>
          <w:rFonts w:cs="Arial"/>
          <w:color w:val="000000" w:themeColor="text1"/>
          <w:szCs w:val="22"/>
        </w:rPr>
        <w:t>e emissions prevented during the previous calendar year shall provide the Organization, via the mechanism, with fuel oil consumption data with respect to an eligible zero or near-zero GHG fuel, technology and/or energy source as reported to the Administration, or any organization duly authorized by it, in accordance with regulations 27.3, 27.4 or 27.5 of this Annex.</w:t>
      </w:r>
      <w:r w:rsidRPr="00E3618B">
        <w:rPr>
          <w:rStyle w:val="FootnoteReference"/>
          <w:rFonts w:cs="Arial"/>
          <w:color w:val="000000" w:themeColor="text1"/>
          <w:szCs w:val="22"/>
        </w:rPr>
        <w:footnoteReference w:id="26"/>
      </w:r>
      <w:r w:rsidRPr="00E3618B">
        <w:rPr>
          <w:rFonts w:cs="Arial"/>
          <w:color w:val="000000" w:themeColor="text1"/>
          <w:szCs w:val="22"/>
        </w:rPr>
        <w:t xml:space="preserve"> </w:t>
      </w:r>
    </w:p>
    <w:p w14:paraId="2BF9A06F" w14:textId="77777777" w:rsidR="008C0AB8" w:rsidRPr="00E3618B" w:rsidRDefault="008C0AB8" w:rsidP="008C0AB8">
      <w:pPr>
        <w:rPr>
          <w:rFonts w:cs="Arial"/>
          <w:color w:val="000000" w:themeColor="text1"/>
          <w:szCs w:val="22"/>
        </w:rPr>
      </w:pPr>
    </w:p>
    <w:p w14:paraId="228C82EA" w14:textId="5D183AF7" w:rsidR="008C0AB8" w:rsidRPr="00E3618B" w:rsidRDefault="008C0AB8" w:rsidP="008C0AB8">
      <w:pPr>
        <w:rPr>
          <w:rFonts w:cs="Arial"/>
          <w:color w:val="000000" w:themeColor="text1"/>
          <w:szCs w:val="22"/>
        </w:rPr>
      </w:pPr>
      <w:r w:rsidRPr="00E3618B">
        <w:rPr>
          <w:color w:val="000000" w:themeColor="text1"/>
          <w:szCs w:val="22"/>
        </w:rPr>
        <w:t>3</w:t>
      </w:r>
      <w:r w:rsidRPr="00E3618B">
        <w:rPr>
          <w:color w:val="000000" w:themeColor="text1"/>
          <w:szCs w:val="22"/>
        </w:rPr>
        <w:tab/>
      </w:r>
      <w:r w:rsidRPr="00E3618B">
        <w:rPr>
          <w:rFonts w:cs="Arial"/>
          <w:color w:val="000000" w:themeColor="text1"/>
          <w:szCs w:val="22"/>
        </w:rPr>
        <w:t xml:space="preserve">No later than one month after receiving fuel oil consumption data for the previous calendar year from a ship which reports the use of an eligible zero or near-zero </w:t>
      </w:r>
      <w:r w:rsidR="00335EE8">
        <w:rPr>
          <w:rFonts w:cs="Arial"/>
          <w:color w:val="000000" w:themeColor="text1"/>
          <w:szCs w:val="22"/>
        </w:rPr>
        <w:t xml:space="preserve">GHG </w:t>
      </w:r>
      <w:r w:rsidRPr="00E3618B">
        <w:rPr>
          <w:rFonts w:cs="Arial"/>
          <w:color w:val="000000" w:themeColor="text1"/>
          <w:szCs w:val="22"/>
        </w:rPr>
        <w:t xml:space="preserve">fuel, technology and/or energy source, the Organization shall, via the mechanism, provide a Provisional Statement to the ship, as required by regulation </w:t>
      </w:r>
      <w:r>
        <w:rPr>
          <w:rFonts w:cs="Arial"/>
          <w:color w:val="000000" w:themeColor="text1"/>
          <w:szCs w:val="22"/>
        </w:rPr>
        <w:t>40</w:t>
      </w:r>
      <w:r w:rsidRPr="00E3618B">
        <w:rPr>
          <w:rFonts w:cs="Arial"/>
          <w:color w:val="000000" w:themeColor="text1"/>
          <w:szCs w:val="22"/>
        </w:rPr>
        <w:t>.</w:t>
      </w:r>
      <w:r>
        <w:rPr>
          <w:rFonts w:cs="Arial"/>
          <w:color w:val="000000" w:themeColor="text1"/>
          <w:szCs w:val="22"/>
        </w:rPr>
        <w:t>7</w:t>
      </w:r>
      <w:r w:rsidRPr="00E3618B">
        <w:rPr>
          <w:rFonts w:cs="Arial"/>
          <w:color w:val="000000" w:themeColor="text1"/>
          <w:szCs w:val="22"/>
        </w:rPr>
        <w:t xml:space="preserve"> of this Annex, which sets out the annual feebate to be received by the ship for the CO</w:t>
      </w:r>
      <w:r w:rsidRPr="00E3618B">
        <w:rPr>
          <w:rFonts w:cs="Arial"/>
          <w:color w:val="000000" w:themeColor="text1"/>
          <w:szCs w:val="22"/>
          <w:vertAlign w:val="subscript"/>
        </w:rPr>
        <w:t>2</w:t>
      </w:r>
      <w:r w:rsidRPr="00E3618B">
        <w:rPr>
          <w:rFonts w:cs="Arial"/>
          <w:color w:val="000000" w:themeColor="text1"/>
          <w:szCs w:val="22"/>
        </w:rPr>
        <w:t xml:space="preserve">e emissions prevented during the previous calendar year by the use of </w:t>
      </w:r>
      <w:r w:rsidRPr="00E3618B">
        <w:rPr>
          <w:color w:val="000000" w:themeColor="text1"/>
          <w:szCs w:val="22"/>
        </w:rPr>
        <w:t xml:space="preserve">an eligible zero or near-zero GHG fuel, </w:t>
      </w:r>
      <w:r w:rsidRPr="00E3618B">
        <w:rPr>
          <w:rFonts w:cs="Arial"/>
          <w:color w:val="000000" w:themeColor="text1"/>
          <w:szCs w:val="22"/>
        </w:rPr>
        <w:t xml:space="preserve">technology and/or energy source, including the portion thereof as provided for in paragraphs 8 and 9 of this regulation. </w:t>
      </w:r>
      <w:r w:rsidRPr="00E3618B" w:rsidDel="0039787D">
        <w:rPr>
          <w:rFonts w:cs="Arial"/>
          <w:color w:val="000000" w:themeColor="text1"/>
          <w:szCs w:val="22"/>
        </w:rPr>
        <w:t xml:space="preserve"> </w:t>
      </w:r>
    </w:p>
    <w:p w14:paraId="03871484" w14:textId="77777777" w:rsidR="008C0AB8" w:rsidRPr="00E3618B" w:rsidRDefault="008C0AB8" w:rsidP="008C0AB8">
      <w:pPr>
        <w:rPr>
          <w:rFonts w:cs="Arial"/>
          <w:color w:val="000000" w:themeColor="text1"/>
          <w:szCs w:val="22"/>
        </w:rPr>
      </w:pPr>
    </w:p>
    <w:p w14:paraId="702AC6B2" w14:textId="77777777" w:rsidR="008C0AB8" w:rsidRPr="00E3618B" w:rsidRDefault="008C0AB8" w:rsidP="008C0AB8">
      <w:pPr>
        <w:rPr>
          <w:rFonts w:cs="Arial"/>
          <w:color w:val="000000" w:themeColor="text1"/>
          <w:szCs w:val="22"/>
        </w:rPr>
      </w:pPr>
      <w:r w:rsidRPr="00E3618B">
        <w:rPr>
          <w:rFonts w:cs="Arial"/>
          <w:color w:val="000000" w:themeColor="text1"/>
          <w:szCs w:val="22"/>
        </w:rPr>
        <w:t>4</w:t>
      </w:r>
      <w:r w:rsidRPr="00E3618B">
        <w:rPr>
          <w:rFonts w:cs="Arial"/>
          <w:color w:val="000000" w:themeColor="text1"/>
          <w:szCs w:val="22"/>
        </w:rPr>
        <w:tab/>
        <w:t xml:space="preserve">If the feebate to be received by the ship in accordance with paragraph 3 of this regulation is more than the GHG fee required by regulation </w:t>
      </w:r>
      <w:r>
        <w:rPr>
          <w:rFonts w:cs="Arial"/>
          <w:color w:val="000000" w:themeColor="text1"/>
          <w:szCs w:val="22"/>
        </w:rPr>
        <w:t>40</w:t>
      </w:r>
      <w:r w:rsidRPr="00E3618B">
        <w:rPr>
          <w:rFonts w:cs="Arial"/>
          <w:color w:val="000000" w:themeColor="text1"/>
          <w:szCs w:val="22"/>
        </w:rPr>
        <w:t>.</w:t>
      </w:r>
      <w:r>
        <w:rPr>
          <w:rFonts w:cs="Arial"/>
          <w:color w:val="000000" w:themeColor="text1"/>
          <w:szCs w:val="22"/>
        </w:rPr>
        <w:t>4</w:t>
      </w:r>
      <w:r w:rsidRPr="00E3618B">
        <w:rPr>
          <w:rFonts w:cs="Arial"/>
          <w:color w:val="000000" w:themeColor="text1"/>
          <w:szCs w:val="22"/>
        </w:rPr>
        <w:t xml:space="preserve"> of this Annex, on receipt of the Provisional Statement, the ship shall forward this to the Administration, or any organization duly authorized by it, requesting a Feebate Eligibility Confirmation Statement which confirms that the fuel consumption data with respect to eligible zero and near-zero GHG fuels, provided by the ship using the maritime GHG pricing mechanism, is the same as that provided in accordance with regulations 27.3, 27.4 or 27.5 of this Annex.</w:t>
      </w:r>
      <w:r w:rsidRPr="00E3618B" w:rsidDel="00EB2687">
        <w:rPr>
          <w:rFonts w:cs="Arial"/>
          <w:color w:val="000000" w:themeColor="text1"/>
          <w:szCs w:val="22"/>
        </w:rPr>
        <w:t xml:space="preserve"> </w:t>
      </w:r>
      <w:r w:rsidRPr="00E3618B">
        <w:rPr>
          <w:rFonts w:cs="Arial"/>
          <w:color w:val="000000" w:themeColor="text1"/>
          <w:szCs w:val="22"/>
        </w:rPr>
        <w:t>If the feebate to be received by the ship is less than the GHG fee, this will be deducted from total amount due to be transmitted by the ship, via the mechanism, as set out in the Annual Account Statement.</w:t>
      </w:r>
    </w:p>
    <w:p w14:paraId="34158417" w14:textId="77777777" w:rsidR="008C0AB8" w:rsidRPr="00E3618B" w:rsidRDefault="008C0AB8" w:rsidP="008C0AB8">
      <w:pPr>
        <w:rPr>
          <w:rFonts w:cs="Arial"/>
          <w:color w:val="000000" w:themeColor="text1"/>
          <w:szCs w:val="22"/>
        </w:rPr>
      </w:pPr>
    </w:p>
    <w:p w14:paraId="38792FB6"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5 </w:t>
      </w:r>
      <w:r w:rsidRPr="00E3618B">
        <w:rPr>
          <w:rFonts w:cs="Arial"/>
          <w:color w:val="000000" w:themeColor="text1"/>
          <w:szCs w:val="22"/>
        </w:rPr>
        <w:tab/>
        <w:t xml:space="preserve">No later than one month after receiving a request for a Feebate Eligibility Confirmation Statement from the ship, the Administration, or any organization duly authorized by it, shall issue a Feebate Eligibility Confirmation Statement in accordance with </w:t>
      </w:r>
      <w:r w:rsidRPr="00E3618B">
        <w:rPr>
          <w:rFonts w:cs="Arial"/>
          <w:color w:val="000000" w:themeColor="text1"/>
          <w:szCs w:val="22"/>
        </w:rPr>
        <w:br/>
        <w:t xml:space="preserve">regulation 8.6 of this Annex.  </w:t>
      </w:r>
    </w:p>
    <w:p w14:paraId="1C282C4A" w14:textId="77777777" w:rsidR="008C0AB8" w:rsidRPr="00E3618B" w:rsidRDefault="008C0AB8" w:rsidP="008C0AB8">
      <w:pPr>
        <w:rPr>
          <w:rFonts w:cs="Arial"/>
          <w:color w:val="000000" w:themeColor="text1"/>
          <w:szCs w:val="22"/>
        </w:rPr>
      </w:pPr>
    </w:p>
    <w:p w14:paraId="4C37DE2F" w14:textId="77777777" w:rsidR="008C0AB8" w:rsidRPr="00E3618B" w:rsidRDefault="008C0AB8" w:rsidP="008C0AB8">
      <w:pPr>
        <w:rPr>
          <w:rFonts w:cs="Arial"/>
          <w:color w:val="000000" w:themeColor="text1"/>
          <w:szCs w:val="22"/>
        </w:rPr>
      </w:pPr>
      <w:r w:rsidRPr="00E3618B">
        <w:rPr>
          <w:rFonts w:cs="Arial"/>
          <w:color w:val="000000" w:themeColor="text1"/>
          <w:szCs w:val="22"/>
        </w:rPr>
        <w:t>6</w:t>
      </w:r>
      <w:r w:rsidRPr="00E3618B">
        <w:rPr>
          <w:rFonts w:cs="Arial"/>
          <w:color w:val="000000" w:themeColor="text1"/>
          <w:szCs w:val="22"/>
        </w:rPr>
        <w:tab/>
        <w:t>Following receipt of the Feebate Eligibility Confirmation Statement from the Administration, or any organization duly authorized by it, the ship shall promptly provide the Organization, via the mechanism, with the Feebate Eligibility Confirmation Statement.</w:t>
      </w:r>
    </w:p>
    <w:p w14:paraId="16539FF9" w14:textId="77777777" w:rsidR="008C0AB8" w:rsidRPr="00E3618B" w:rsidRDefault="008C0AB8" w:rsidP="008C0AB8">
      <w:pPr>
        <w:rPr>
          <w:color w:val="000000" w:themeColor="text1"/>
          <w:szCs w:val="22"/>
        </w:rPr>
      </w:pPr>
    </w:p>
    <w:p w14:paraId="212CC057" w14:textId="77777777" w:rsidR="008C0AB8" w:rsidRPr="00E3618B" w:rsidRDefault="008C0AB8" w:rsidP="008C0AB8">
      <w:pPr>
        <w:rPr>
          <w:color w:val="000000" w:themeColor="text1"/>
          <w:szCs w:val="22"/>
        </w:rPr>
      </w:pPr>
      <w:r w:rsidRPr="00E3618B">
        <w:rPr>
          <w:color w:val="000000" w:themeColor="text1"/>
          <w:szCs w:val="22"/>
        </w:rPr>
        <w:t>7</w:t>
      </w:r>
      <w:r w:rsidRPr="00E3618B">
        <w:rPr>
          <w:color w:val="000000" w:themeColor="text1"/>
          <w:szCs w:val="22"/>
        </w:rPr>
        <w:tab/>
        <w:t xml:space="preserve">No later than one month after receiving the </w:t>
      </w:r>
      <w:r w:rsidRPr="00E3618B">
        <w:rPr>
          <w:rFonts w:cs="Arial"/>
          <w:color w:val="000000" w:themeColor="text1"/>
          <w:szCs w:val="22"/>
        </w:rPr>
        <w:t xml:space="preserve">Feebate Eligibility Confirmation Statement </w:t>
      </w:r>
      <w:r w:rsidRPr="00E3618B">
        <w:rPr>
          <w:color w:val="000000" w:themeColor="text1"/>
          <w:szCs w:val="22"/>
        </w:rPr>
        <w:t xml:space="preserve">for the ship, the Organization, via the mechanism, shall disburse the feebate to the ship.   </w:t>
      </w:r>
    </w:p>
    <w:p w14:paraId="4CDB9BE0" w14:textId="77777777" w:rsidR="008C0AB8" w:rsidRPr="00E3618B" w:rsidRDefault="008C0AB8" w:rsidP="008C0AB8">
      <w:pPr>
        <w:rPr>
          <w:rFonts w:cs="Arial"/>
          <w:color w:val="000000" w:themeColor="text1"/>
          <w:szCs w:val="22"/>
        </w:rPr>
      </w:pPr>
    </w:p>
    <w:p w14:paraId="7DEF295D" w14:textId="77777777" w:rsidR="00104A68" w:rsidRDefault="008C0AB8" w:rsidP="008C0AB8">
      <w:pPr>
        <w:rPr>
          <w:rFonts w:cs="Arial"/>
          <w:color w:val="000000" w:themeColor="text1"/>
          <w:szCs w:val="22"/>
        </w:rPr>
      </w:pPr>
      <w:r w:rsidRPr="00E3618B">
        <w:rPr>
          <w:rFonts w:cs="Arial"/>
          <w:color w:val="000000" w:themeColor="text1"/>
          <w:szCs w:val="22"/>
        </w:rPr>
        <w:t>8</w:t>
      </w:r>
      <w:r w:rsidRPr="00E3618B">
        <w:rPr>
          <w:rFonts w:cs="Arial"/>
          <w:color w:val="000000" w:themeColor="text1"/>
          <w:szCs w:val="22"/>
        </w:rPr>
        <w:tab/>
        <w:t>In the event of the transfer of a ship from one Administration to another, the feebate received by the ship in accordance with paragraph 1 of this regulation shall cover the period of the calendar year corresponding to the losing Administration.</w:t>
      </w:r>
    </w:p>
    <w:p w14:paraId="3002D859" w14:textId="5336F202" w:rsidR="008C0AB8" w:rsidRPr="00E3618B" w:rsidRDefault="008C0AB8" w:rsidP="008C0AB8">
      <w:pPr>
        <w:rPr>
          <w:rFonts w:cs="Arial"/>
          <w:color w:val="000000" w:themeColor="text1"/>
          <w:szCs w:val="22"/>
        </w:rPr>
      </w:pPr>
      <w:r w:rsidRPr="00E3618B">
        <w:rPr>
          <w:rFonts w:cs="Arial"/>
          <w:color w:val="000000" w:themeColor="text1"/>
          <w:szCs w:val="22"/>
        </w:rPr>
        <w:lastRenderedPageBreak/>
        <w:t>9</w:t>
      </w:r>
      <w:r w:rsidRPr="00E3618B">
        <w:rPr>
          <w:rFonts w:cs="Arial"/>
          <w:color w:val="000000" w:themeColor="text1"/>
          <w:szCs w:val="22"/>
        </w:rPr>
        <w:tab/>
        <w:t>In the event of a change from one Company to another, the feebate received by the ship in accordance with paragraph 1 of this regulation shall cover the portion of the calendar year corresponding to the previous Company.</w:t>
      </w:r>
    </w:p>
    <w:p w14:paraId="7832A47F" w14:textId="77777777" w:rsidR="008C0AB8" w:rsidRPr="00E3618B" w:rsidRDefault="008C0AB8" w:rsidP="008C0AB8">
      <w:pPr>
        <w:rPr>
          <w:rFonts w:cs="Arial"/>
          <w:color w:val="000000" w:themeColor="text1"/>
          <w:szCs w:val="22"/>
        </w:rPr>
      </w:pPr>
    </w:p>
    <w:p w14:paraId="49DDA661" w14:textId="77777777" w:rsidR="008C0AB8" w:rsidRPr="00E3618B" w:rsidRDefault="008C0AB8" w:rsidP="008C0AB8">
      <w:pPr>
        <w:rPr>
          <w:rFonts w:cs="Arial"/>
          <w:color w:val="000000" w:themeColor="text1"/>
          <w:szCs w:val="22"/>
        </w:rPr>
      </w:pPr>
      <w:r w:rsidRPr="00E3618B">
        <w:rPr>
          <w:rFonts w:cs="Arial"/>
          <w:color w:val="000000" w:themeColor="text1"/>
          <w:szCs w:val="22"/>
        </w:rPr>
        <w:t>10</w:t>
      </w:r>
      <w:r w:rsidRPr="00E3618B">
        <w:rPr>
          <w:rFonts w:cs="Arial"/>
          <w:color w:val="000000" w:themeColor="text1"/>
          <w:szCs w:val="22"/>
        </w:rPr>
        <w:tab/>
        <w:t>In the event of change from one Administration to another and from one Company to another concurrently, paragraph 8 of this regulation shall apply.</w:t>
      </w:r>
    </w:p>
    <w:p w14:paraId="5744B605" w14:textId="77777777" w:rsidR="008C0AB8" w:rsidRPr="00E3618B" w:rsidRDefault="008C0AB8" w:rsidP="008C0AB8">
      <w:pPr>
        <w:rPr>
          <w:rFonts w:cs="Arial"/>
          <w:color w:val="000000" w:themeColor="text1"/>
          <w:szCs w:val="22"/>
        </w:rPr>
      </w:pPr>
    </w:p>
    <w:p w14:paraId="0207D568"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11 </w:t>
      </w:r>
      <w:r w:rsidRPr="00E3618B">
        <w:rPr>
          <w:rFonts w:cs="Arial"/>
          <w:color w:val="000000" w:themeColor="text1"/>
          <w:szCs w:val="22"/>
        </w:rPr>
        <w:tab/>
        <w:t xml:space="preserve">With the approval of the Administration, a ship below 5,000 gross tonnage may be eligible for a feebate provided that GHG fees are made by the ship as required by </w:t>
      </w:r>
      <w:r w:rsidRPr="00E3618B">
        <w:rPr>
          <w:rFonts w:cs="Arial"/>
          <w:color w:val="000000" w:themeColor="text1"/>
          <w:szCs w:val="22"/>
        </w:rPr>
        <w:br/>
        <w:t xml:space="preserve">regulation </w:t>
      </w:r>
      <w:r>
        <w:rPr>
          <w:rFonts w:cs="Arial"/>
          <w:color w:val="000000" w:themeColor="text1"/>
          <w:szCs w:val="22"/>
        </w:rPr>
        <w:t>40</w:t>
      </w:r>
      <w:r w:rsidRPr="00E3618B">
        <w:rPr>
          <w:rFonts w:cs="Arial"/>
          <w:color w:val="000000" w:themeColor="text1"/>
          <w:szCs w:val="22"/>
        </w:rPr>
        <w:t xml:space="preserve"> of this Annex and that the ship provides the Organization with fuel oil consumption data for that ship, via the mechanism in accordance with regulation </w:t>
      </w:r>
      <w:r>
        <w:rPr>
          <w:rFonts w:cs="Arial"/>
          <w:color w:val="000000" w:themeColor="text1"/>
          <w:szCs w:val="22"/>
        </w:rPr>
        <w:t>40</w:t>
      </w:r>
      <w:r w:rsidRPr="00E3618B">
        <w:rPr>
          <w:rFonts w:cs="Arial"/>
          <w:color w:val="000000" w:themeColor="text1"/>
          <w:szCs w:val="22"/>
        </w:rPr>
        <w:t>.</w:t>
      </w:r>
      <w:r>
        <w:rPr>
          <w:rFonts w:cs="Arial"/>
          <w:color w:val="000000" w:themeColor="text1"/>
          <w:szCs w:val="22"/>
        </w:rPr>
        <w:t>6</w:t>
      </w:r>
      <w:r w:rsidRPr="00E3618B">
        <w:rPr>
          <w:rFonts w:cs="Arial"/>
          <w:color w:val="000000" w:themeColor="text1"/>
          <w:szCs w:val="22"/>
        </w:rPr>
        <w:t xml:space="preserve">, as reported to the Administration, or any organization duly authorized by it, in accordance with regulations 27.3, 27.4 or 27.5 of this Annex, and that a Statement of Compliance is issued to that ship in accordance with regulation 6.9 of this Annex. Regulation 6.10 of this Annex shall not apply to ships below 5,000 gross tonnage. </w:t>
      </w:r>
    </w:p>
    <w:p w14:paraId="0192A65D" w14:textId="77777777" w:rsidR="008C0AB8" w:rsidRDefault="008C0AB8" w:rsidP="008C0AB8">
      <w:pPr>
        <w:rPr>
          <w:rFonts w:cs="Arial"/>
          <w:b/>
          <w:bCs/>
          <w:i/>
          <w:iCs/>
          <w:szCs w:val="22"/>
        </w:rPr>
      </w:pPr>
    </w:p>
    <w:p w14:paraId="7204FE5F" w14:textId="77777777" w:rsidR="008C0AB8" w:rsidRPr="002410D0" w:rsidRDefault="008C0AB8" w:rsidP="008C0AB8">
      <w:pPr>
        <w:rPr>
          <w:rFonts w:cs="Arial"/>
          <w:b/>
          <w:bCs/>
          <w:i/>
          <w:iCs/>
          <w:szCs w:val="22"/>
        </w:rPr>
      </w:pPr>
      <w:r w:rsidRPr="002410D0">
        <w:rPr>
          <w:rFonts w:cs="Arial"/>
          <w:b/>
          <w:bCs/>
          <w:i/>
          <w:iCs/>
          <w:szCs w:val="22"/>
        </w:rPr>
        <w:t>[</w:t>
      </w:r>
      <w:r>
        <w:rPr>
          <w:rFonts w:cs="Arial"/>
          <w:b/>
          <w:bCs/>
          <w:i/>
          <w:iCs/>
          <w:szCs w:val="22"/>
        </w:rPr>
        <w:t>.</w:t>
      </w:r>
      <w:r w:rsidRPr="002410D0">
        <w:rPr>
          <w:rFonts w:cs="Arial"/>
          <w:b/>
          <w:bCs/>
          <w:i/>
          <w:iCs/>
          <w:szCs w:val="22"/>
        </w:rPr>
        <w:t>10.6</w:t>
      </w:r>
      <w:r w:rsidRPr="002410D0">
        <w:rPr>
          <w:rFonts w:cs="Arial"/>
          <w:b/>
          <w:bCs/>
          <w:i/>
          <w:iCs/>
          <w:szCs w:val="22"/>
        </w:rPr>
        <w:tab/>
        <w:t>Distribution of revenue (regulation X)]</w:t>
      </w:r>
    </w:p>
    <w:p w14:paraId="449F8960" w14:textId="77777777" w:rsidR="008C0AB8" w:rsidRDefault="008C0AB8" w:rsidP="008C0AB8">
      <w:pPr>
        <w:rPr>
          <w:rFonts w:cs="Arial"/>
          <w:b/>
          <w:bCs/>
          <w:color w:val="000000" w:themeColor="text1"/>
          <w:szCs w:val="22"/>
        </w:rPr>
      </w:pPr>
    </w:p>
    <w:p w14:paraId="61FD3CE3" w14:textId="52B47DF1"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42</w:t>
      </w:r>
    </w:p>
    <w:p w14:paraId="4B15CAF9"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IMO Net Zero Shipping Fund</w:t>
      </w:r>
    </w:p>
    <w:p w14:paraId="1E188BA0" w14:textId="77777777" w:rsidR="008C0AB8" w:rsidRPr="00E3618B" w:rsidRDefault="008C0AB8" w:rsidP="008C0AB8">
      <w:pPr>
        <w:rPr>
          <w:rFonts w:cs="Arial"/>
          <w:color w:val="000000" w:themeColor="text1"/>
          <w:szCs w:val="22"/>
        </w:rPr>
      </w:pPr>
    </w:p>
    <w:p w14:paraId="2EB13272"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Within 12 months of entry into force of this chapter, the Organization shall establish an IMO Net Zero Shipping Fund in accordance with terms of reference established by the Organization as required in paragraph 2 of this regulation, to support the projects and programmes set out in regulation 3</w:t>
      </w:r>
      <w:r>
        <w:rPr>
          <w:rFonts w:cs="Arial"/>
          <w:color w:val="000000" w:themeColor="text1"/>
          <w:szCs w:val="22"/>
        </w:rPr>
        <w:t>9</w:t>
      </w:r>
      <w:r w:rsidRPr="00E3618B">
        <w:rPr>
          <w:rFonts w:cs="Arial"/>
          <w:color w:val="000000" w:themeColor="text1"/>
          <w:szCs w:val="22"/>
        </w:rPr>
        <w:t>.2 of this Annex as may be decided by a supervisory committee comprising representatives of Parties to this chapter, balanced in terms of geographical representation.</w:t>
      </w:r>
    </w:p>
    <w:p w14:paraId="5EE91787" w14:textId="77777777" w:rsidR="008C0AB8" w:rsidRPr="00E3618B" w:rsidRDefault="008C0AB8" w:rsidP="008C0AB8">
      <w:pPr>
        <w:rPr>
          <w:rFonts w:cs="Arial"/>
          <w:color w:val="000000" w:themeColor="text1"/>
          <w:szCs w:val="22"/>
        </w:rPr>
      </w:pPr>
    </w:p>
    <w:p w14:paraId="2F388743" w14:textId="77777777" w:rsidR="008C0AB8" w:rsidRPr="00E3618B" w:rsidRDefault="008C0AB8" w:rsidP="008C0AB8">
      <w:pPr>
        <w:rPr>
          <w:rFonts w:cs="Arial"/>
          <w:color w:val="000000" w:themeColor="text1"/>
          <w:szCs w:val="22"/>
        </w:rPr>
      </w:pPr>
      <w:r w:rsidRPr="00E3618B">
        <w:rPr>
          <w:rFonts w:cs="Arial"/>
          <w:color w:val="000000" w:themeColor="text1"/>
          <w:szCs w:val="22"/>
        </w:rPr>
        <w:t>2</w:t>
      </w:r>
      <w:r w:rsidRPr="00E3618B">
        <w:rPr>
          <w:rFonts w:cs="Arial"/>
          <w:color w:val="000000" w:themeColor="text1"/>
          <w:szCs w:val="22"/>
        </w:rPr>
        <w:tab/>
        <w:t>The Organization shall establish terms of reference</w:t>
      </w:r>
      <w:r w:rsidRPr="00E3618B">
        <w:rPr>
          <w:rStyle w:val="FootnoteReference"/>
          <w:rFonts w:cs="Arial"/>
          <w:color w:val="000000" w:themeColor="text1"/>
          <w:szCs w:val="22"/>
        </w:rPr>
        <w:footnoteReference w:id="27"/>
      </w:r>
      <w:r w:rsidRPr="00E3618B">
        <w:rPr>
          <w:rFonts w:cs="Arial"/>
          <w:color w:val="000000" w:themeColor="text1"/>
          <w:szCs w:val="22"/>
        </w:rPr>
        <w:t xml:space="preserve"> for the governance and management of the IMO Net Zero Shipping Fund, including principles and priorities for the disbursement of revenues, taking into account Guidelines adopted by the Organization.</w:t>
      </w:r>
    </w:p>
    <w:p w14:paraId="26A9DA6D" w14:textId="77777777" w:rsidR="008C0AB8" w:rsidRPr="00E3618B" w:rsidRDefault="008C0AB8" w:rsidP="008C0AB8">
      <w:pPr>
        <w:rPr>
          <w:rFonts w:cs="Arial"/>
          <w:color w:val="000000" w:themeColor="text1"/>
          <w:szCs w:val="22"/>
        </w:rPr>
      </w:pPr>
    </w:p>
    <w:p w14:paraId="5D2D4D34" w14:textId="77777777" w:rsidR="008C0AB8" w:rsidRPr="00E3618B" w:rsidRDefault="008C0AB8" w:rsidP="008C0AB8">
      <w:pPr>
        <w:rPr>
          <w:rFonts w:cs="Arial"/>
          <w:color w:val="000000" w:themeColor="text1"/>
          <w:szCs w:val="22"/>
        </w:rPr>
      </w:pPr>
      <w:r w:rsidRPr="00E3618B">
        <w:rPr>
          <w:rFonts w:cs="Arial"/>
          <w:color w:val="000000" w:themeColor="text1"/>
          <w:szCs w:val="22"/>
        </w:rPr>
        <w:t>3</w:t>
      </w:r>
      <w:r w:rsidRPr="00E3618B">
        <w:rPr>
          <w:rFonts w:cs="Arial"/>
          <w:color w:val="000000" w:themeColor="text1"/>
          <w:szCs w:val="22"/>
        </w:rPr>
        <w:tab/>
        <w:t>The Marine Environment Protection Committee shall oversee the activities and governance of the IMO Net Zero Shipping Fund in accordance with the rules and regulations of the Organization, taking into account Guidelines adopted by the Organization.</w:t>
      </w:r>
    </w:p>
    <w:p w14:paraId="2DF7BA47" w14:textId="77777777" w:rsidR="008C0AB8" w:rsidRPr="0092576B" w:rsidRDefault="008C0AB8" w:rsidP="008C0AB8">
      <w:pPr>
        <w:rPr>
          <w:rFonts w:cs="Arial"/>
          <w:i/>
          <w:iCs/>
          <w:szCs w:val="22"/>
        </w:rPr>
      </w:pPr>
    </w:p>
    <w:p w14:paraId="7B37A4B7" w14:textId="77777777" w:rsidR="007931AD" w:rsidRDefault="008C0AB8" w:rsidP="00692FA1">
      <w:pPr>
        <w:rPr>
          <w:rFonts w:cs="Arial"/>
          <w:b/>
          <w:bCs/>
          <w:i/>
          <w:iCs/>
          <w:szCs w:val="22"/>
        </w:rPr>
      </w:pPr>
      <w:r w:rsidRPr="00DC403D">
        <w:rPr>
          <w:rFonts w:cs="Arial"/>
          <w:b/>
          <w:bCs/>
          <w:i/>
          <w:iCs/>
          <w:szCs w:val="22"/>
        </w:rPr>
        <w:t>[</w:t>
      </w:r>
      <w:r>
        <w:rPr>
          <w:rFonts w:cs="Arial"/>
          <w:b/>
          <w:bCs/>
          <w:i/>
          <w:iCs/>
          <w:szCs w:val="22"/>
        </w:rPr>
        <w:t xml:space="preserve">NB: </w:t>
      </w:r>
      <w:r w:rsidRPr="00DC403D">
        <w:rPr>
          <w:rFonts w:cs="Arial"/>
          <w:b/>
          <w:bCs/>
          <w:i/>
          <w:iCs/>
          <w:szCs w:val="22"/>
        </w:rPr>
        <w:t xml:space="preserve">Dates for implementation </w:t>
      </w:r>
      <w:r>
        <w:rPr>
          <w:rFonts w:cs="Arial"/>
          <w:b/>
          <w:bCs/>
          <w:i/>
          <w:iCs/>
          <w:szCs w:val="22"/>
        </w:rPr>
        <w:t xml:space="preserve">in regulation 43 below </w:t>
      </w:r>
      <w:r w:rsidRPr="00DC403D">
        <w:rPr>
          <w:rFonts w:cs="Arial"/>
          <w:b/>
          <w:bCs/>
          <w:i/>
          <w:iCs/>
          <w:szCs w:val="22"/>
        </w:rPr>
        <w:t>is not covered in the MEPC 81 illustration</w:t>
      </w:r>
      <w:r>
        <w:rPr>
          <w:rFonts w:cs="Arial"/>
          <w:b/>
          <w:bCs/>
          <w:i/>
          <w:iCs/>
          <w:szCs w:val="22"/>
        </w:rPr>
        <w:t>.</w:t>
      </w:r>
      <w:r w:rsidRPr="00DC403D">
        <w:rPr>
          <w:rFonts w:cs="Arial"/>
          <w:b/>
          <w:bCs/>
          <w:i/>
          <w:iCs/>
          <w:szCs w:val="22"/>
        </w:rPr>
        <w:t>]</w:t>
      </w:r>
    </w:p>
    <w:p w14:paraId="26BEF577" w14:textId="77777777" w:rsidR="007931AD" w:rsidRDefault="007931AD" w:rsidP="00692FA1">
      <w:pPr>
        <w:rPr>
          <w:rFonts w:cs="Arial"/>
          <w:b/>
          <w:bCs/>
          <w:i/>
          <w:iCs/>
          <w:szCs w:val="22"/>
        </w:rPr>
      </w:pPr>
    </w:p>
    <w:p w14:paraId="4232D8F4" w14:textId="20B6FAC4" w:rsidR="008C0AB8" w:rsidRPr="00E3618B" w:rsidRDefault="008C0AB8" w:rsidP="00692FA1">
      <w:pPr>
        <w:rPr>
          <w:rFonts w:cs="Arial"/>
          <w:b/>
          <w:b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43</w:t>
      </w:r>
    </w:p>
    <w:p w14:paraId="33B9E27B" w14:textId="4F2F5BF3" w:rsidR="008C0AB8" w:rsidRPr="00E3618B" w:rsidRDefault="008C0AB8" w:rsidP="008C0AB8">
      <w:pPr>
        <w:keepNext/>
        <w:keepLines/>
        <w:rPr>
          <w:rFonts w:cs="Arial"/>
          <w:i/>
          <w:iCs/>
          <w:color w:val="000000" w:themeColor="text1"/>
          <w:szCs w:val="22"/>
        </w:rPr>
      </w:pPr>
      <w:r w:rsidRPr="00E3618B">
        <w:rPr>
          <w:rFonts w:cs="Arial"/>
          <w:i/>
          <w:iCs/>
          <w:color w:val="000000" w:themeColor="text1"/>
          <w:szCs w:val="22"/>
        </w:rPr>
        <w:t xml:space="preserve">Dates for implementation </w:t>
      </w:r>
    </w:p>
    <w:p w14:paraId="7D325A5A" w14:textId="77777777" w:rsidR="008C0AB8" w:rsidRPr="00E3618B" w:rsidRDefault="008C0AB8" w:rsidP="008C0AB8">
      <w:pPr>
        <w:keepNext/>
        <w:keepLines/>
        <w:rPr>
          <w:rFonts w:cs="Arial"/>
          <w:color w:val="000000" w:themeColor="text1"/>
          <w:szCs w:val="22"/>
        </w:rPr>
      </w:pPr>
    </w:p>
    <w:p w14:paraId="0FC12E74" w14:textId="34F9586B" w:rsidR="008C0AB8" w:rsidRPr="00E3618B" w:rsidRDefault="008C0AB8" w:rsidP="008C0AB8">
      <w:pPr>
        <w:keepNext/>
        <w:keepLines/>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Implementation of the requirements stipulated under regulation</w:t>
      </w:r>
      <w:r w:rsidR="00BF4AF5">
        <w:rPr>
          <w:rFonts w:cs="Arial"/>
          <w:color w:val="000000" w:themeColor="text1"/>
          <w:szCs w:val="22"/>
        </w:rPr>
        <w:t>s</w:t>
      </w:r>
      <w:r w:rsidRPr="00E3618B">
        <w:rPr>
          <w:rFonts w:cs="Arial"/>
          <w:color w:val="000000" w:themeColor="text1"/>
          <w:szCs w:val="22"/>
        </w:rPr>
        <w:t xml:space="preserve"> </w:t>
      </w:r>
      <w:r w:rsidR="00DA45D3">
        <w:rPr>
          <w:rFonts w:cs="Arial"/>
          <w:color w:val="000000" w:themeColor="text1"/>
          <w:szCs w:val="22"/>
        </w:rPr>
        <w:t xml:space="preserve">36 and </w:t>
      </w:r>
      <w:r>
        <w:rPr>
          <w:rFonts w:cs="Arial"/>
          <w:color w:val="000000" w:themeColor="text1"/>
          <w:szCs w:val="22"/>
        </w:rPr>
        <w:t>40</w:t>
      </w:r>
      <w:r w:rsidRPr="00E3618B">
        <w:rPr>
          <w:rFonts w:cs="Arial"/>
          <w:color w:val="000000" w:themeColor="text1"/>
          <w:szCs w:val="22"/>
        </w:rPr>
        <w:t xml:space="preserve"> of this Annex shall commence on a date after the maritime GHG emissions pricing mechanism has been established in accordance with the requirements of regulation 3</w:t>
      </w:r>
      <w:r>
        <w:rPr>
          <w:rFonts w:cs="Arial"/>
          <w:color w:val="000000" w:themeColor="text1"/>
          <w:szCs w:val="22"/>
        </w:rPr>
        <w:t>8</w:t>
      </w:r>
      <w:r w:rsidRPr="00E3618B">
        <w:rPr>
          <w:rFonts w:cs="Arial"/>
          <w:color w:val="000000" w:themeColor="text1"/>
          <w:szCs w:val="22"/>
        </w:rPr>
        <w:t xml:space="preserve"> of this Annex.  </w:t>
      </w:r>
    </w:p>
    <w:p w14:paraId="011FC015" w14:textId="77777777" w:rsidR="008C0AB8" w:rsidRPr="00E3618B" w:rsidRDefault="008C0AB8" w:rsidP="008C0AB8">
      <w:pPr>
        <w:rPr>
          <w:rFonts w:cs="Arial"/>
          <w:color w:val="000000" w:themeColor="text1"/>
          <w:szCs w:val="22"/>
        </w:rPr>
      </w:pPr>
    </w:p>
    <w:p w14:paraId="723171EC" w14:textId="745DBF07" w:rsidR="008C0AB8" w:rsidRPr="00E3618B" w:rsidRDefault="00BE53BF" w:rsidP="008C0AB8">
      <w:pPr>
        <w:rPr>
          <w:rFonts w:cs="Arial"/>
          <w:color w:val="000000" w:themeColor="text1"/>
          <w:szCs w:val="22"/>
        </w:rPr>
      </w:pPr>
      <w:r>
        <w:rPr>
          <w:rFonts w:cs="Arial"/>
          <w:color w:val="000000" w:themeColor="text1"/>
          <w:szCs w:val="22"/>
        </w:rPr>
        <w:t>2</w:t>
      </w:r>
      <w:r w:rsidR="008C0AB8" w:rsidRPr="00E3618B">
        <w:rPr>
          <w:rFonts w:cs="Arial"/>
          <w:color w:val="000000" w:themeColor="text1"/>
          <w:szCs w:val="22"/>
        </w:rPr>
        <w:tab/>
        <w:t xml:space="preserve">The Organization shall review and confirm that the requirements under </w:t>
      </w:r>
      <w:r w:rsidR="008C0AB8" w:rsidRPr="00E3618B">
        <w:rPr>
          <w:rFonts w:cs="Arial"/>
          <w:color w:val="000000" w:themeColor="text1"/>
          <w:szCs w:val="22"/>
        </w:rPr>
        <w:br/>
        <w:t xml:space="preserve">regulations </w:t>
      </w:r>
      <w:r w:rsidR="008C0AB8">
        <w:rPr>
          <w:rFonts w:cs="Arial"/>
          <w:color w:val="000000" w:themeColor="text1"/>
          <w:szCs w:val="22"/>
        </w:rPr>
        <w:t>38</w:t>
      </w:r>
      <w:r w:rsidR="008C0AB8" w:rsidRPr="00E3618B">
        <w:rPr>
          <w:rFonts w:cs="Arial"/>
          <w:color w:val="000000" w:themeColor="text1"/>
          <w:szCs w:val="22"/>
        </w:rPr>
        <w:t xml:space="preserve"> and </w:t>
      </w:r>
      <w:r w:rsidR="008C0AB8">
        <w:rPr>
          <w:rFonts w:cs="Arial"/>
          <w:color w:val="000000" w:themeColor="text1"/>
          <w:szCs w:val="22"/>
        </w:rPr>
        <w:t>40</w:t>
      </w:r>
      <w:r w:rsidR="008C0AB8" w:rsidRPr="00E3618B">
        <w:rPr>
          <w:rFonts w:cs="Arial"/>
          <w:color w:val="000000" w:themeColor="text1"/>
          <w:szCs w:val="22"/>
        </w:rPr>
        <w:t xml:space="preserve"> of this Annex have been met no later than 12 months after entry into force of chapter 5 of this Annex. The Parties, based on the review undertaken by the Organization, shall decide whether the maritime GHG emissions pricing mechanism shall </w:t>
      </w:r>
      <w:r w:rsidR="008C0AB8" w:rsidRPr="00E3618B">
        <w:rPr>
          <w:rFonts w:cs="Arial"/>
          <w:color w:val="000000" w:themeColor="text1"/>
          <w:szCs w:val="22"/>
        </w:rPr>
        <w:lastRenderedPageBreak/>
        <w:t>commence operations. If the Parties to this chapter decide that the</w:t>
      </w:r>
      <w:bookmarkStart w:id="18" w:name="_Hlk164199648"/>
      <w:r w:rsidR="008C0AB8" w:rsidRPr="00E3618B">
        <w:rPr>
          <w:rFonts w:cs="Arial"/>
          <w:color w:val="000000" w:themeColor="text1"/>
          <w:szCs w:val="22"/>
        </w:rPr>
        <w:t xml:space="preserve"> mechanism</w:t>
      </w:r>
      <w:bookmarkEnd w:id="18"/>
      <w:r w:rsidR="008C0AB8" w:rsidRPr="00E3618B">
        <w:rPr>
          <w:rFonts w:cs="Arial"/>
          <w:color w:val="000000" w:themeColor="text1"/>
          <w:szCs w:val="22"/>
        </w:rPr>
        <w:t xml:space="preserve"> is not ready to commence operations then a further review shall be undertaken within six months.</w:t>
      </w:r>
    </w:p>
    <w:p w14:paraId="71479127" w14:textId="77777777" w:rsidR="00744940" w:rsidRDefault="00744940" w:rsidP="008C0AB8">
      <w:pPr>
        <w:rPr>
          <w:rFonts w:cs="Arial"/>
          <w:b/>
          <w:bCs/>
          <w:i/>
          <w:iCs/>
          <w:szCs w:val="22"/>
        </w:rPr>
      </w:pPr>
    </w:p>
    <w:p w14:paraId="1F48881C" w14:textId="3EF5A855" w:rsidR="008C0AB8" w:rsidRPr="00763308" w:rsidRDefault="008C0AB8" w:rsidP="008C0AB8">
      <w:pPr>
        <w:rPr>
          <w:rFonts w:cs="Arial"/>
          <w:b/>
          <w:bCs/>
          <w:i/>
          <w:iCs/>
          <w:szCs w:val="22"/>
        </w:rPr>
      </w:pPr>
      <w:r w:rsidRPr="00763308">
        <w:rPr>
          <w:rFonts w:cs="Arial"/>
          <w:b/>
          <w:bCs/>
          <w:i/>
          <w:iCs/>
          <w:szCs w:val="22"/>
        </w:rPr>
        <w:t>[.11</w:t>
      </w:r>
      <w:r w:rsidRPr="00763308">
        <w:rPr>
          <w:rFonts w:cs="Arial"/>
          <w:b/>
          <w:bCs/>
          <w:i/>
          <w:iCs/>
          <w:szCs w:val="22"/>
        </w:rPr>
        <w:tab/>
        <w:t>Review of the chapter (regulation X)]</w:t>
      </w:r>
    </w:p>
    <w:p w14:paraId="3C9A61BB" w14:textId="77777777" w:rsidR="008C0AB8" w:rsidRPr="00763308" w:rsidRDefault="008C0AB8" w:rsidP="008C0AB8">
      <w:pPr>
        <w:rPr>
          <w:rFonts w:cs="Arial"/>
          <w:i/>
          <w:iCs/>
          <w:color w:val="000000" w:themeColor="text1"/>
          <w:szCs w:val="22"/>
        </w:rPr>
      </w:pPr>
    </w:p>
    <w:p w14:paraId="74DFECE8" w14:textId="08B67168" w:rsidR="008C0AB8" w:rsidRPr="00E3618B" w:rsidRDefault="008C0AB8" w:rsidP="008C0AB8">
      <w:pPr>
        <w:rPr>
          <w:rFonts w:cs="Arial"/>
          <w:b/>
          <w:bCs/>
          <w:color w:val="000000" w:themeColor="text1"/>
          <w:szCs w:val="22"/>
        </w:rPr>
      </w:pPr>
      <w:r w:rsidRPr="00E3618B">
        <w:rPr>
          <w:rFonts w:cs="Arial"/>
          <w:b/>
          <w:bCs/>
          <w:color w:val="000000" w:themeColor="text1"/>
          <w:szCs w:val="22"/>
        </w:rPr>
        <w:t xml:space="preserve">Regulation </w:t>
      </w:r>
      <w:r>
        <w:rPr>
          <w:rFonts w:cs="Arial"/>
          <w:b/>
          <w:bCs/>
          <w:color w:val="000000" w:themeColor="text1"/>
          <w:szCs w:val="22"/>
        </w:rPr>
        <w:t>44</w:t>
      </w:r>
      <w:r w:rsidRPr="00E3618B">
        <w:rPr>
          <w:rFonts w:cs="Arial"/>
          <w:b/>
          <w:bCs/>
          <w:color w:val="000000" w:themeColor="text1"/>
          <w:szCs w:val="22"/>
        </w:rPr>
        <w:t xml:space="preserve"> </w:t>
      </w:r>
    </w:p>
    <w:p w14:paraId="4D90662F" w14:textId="77777777" w:rsidR="008C0AB8" w:rsidRPr="00E3618B" w:rsidRDefault="008C0AB8" w:rsidP="008C0AB8">
      <w:pPr>
        <w:rPr>
          <w:rFonts w:cs="Arial"/>
          <w:i/>
          <w:iCs/>
          <w:color w:val="000000" w:themeColor="text1"/>
          <w:szCs w:val="22"/>
        </w:rPr>
      </w:pPr>
      <w:r w:rsidRPr="00E3618B">
        <w:rPr>
          <w:rFonts w:cs="Arial"/>
          <w:i/>
          <w:iCs/>
          <w:color w:val="000000" w:themeColor="text1"/>
          <w:szCs w:val="22"/>
        </w:rPr>
        <w:t>Review of this chapter</w:t>
      </w:r>
    </w:p>
    <w:p w14:paraId="37ACF41D" w14:textId="77777777" w:rsidR="008C0AB8" w:rsidRPr="00E3618B" w:rsidRDefault="008C0AB8" w:rsidP="008C0AB8">
      <w:pPr>
        <w:rPr>
          <w:rFonts w:cs="Arial"/>
          <w:color w:val="000000" w:themeColor="text1"/>
          <w:szCs w:val="22"/>
        </w:rPr>
      </w:pPr>
    </w:p>
    <w:p w14:paraId="011DCA9D" w14:textId="77777777" w:rsidR="008C0AB8" w:rsidRPr="00E3618B" w:rsidRDefault="008C0AB8" w:rsidP="008C0AB8">
      <w:pPr>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 xml:space="preserve">After a period of two years, beginning on the date that this chapter enters into force, the Organization shall review the status of this chapter and amend the relevant provisions if necessary, including the maximum proportion of GHG fees collected annually that may be allocated to the IMO Net Zero Shipping Fund. </w:t>
      </w:r>
    </w:p>
    <w:p w14:paraId="6EF2A6D9" w14:textId="77777777" w:rsidR="008C0AB8" w:rsidRPr="00E3618B" w:rsidRDefault="008C0AB8" w:rsidP="008C0AB8">
      <w:pPr>
        <w:rPr>
          <w:rFonts w:cs="Arial"/>
          <w:color w:val="000000" w:themeColor="text1"/>
          <w:szCs w:val="22"/>
        </w:rPr>
      </w:pPr>
    </w:p>
    <w:p w14:paraId="6DF7CD6A" w14:textId="77777777" w:rsidR="008C0AB8" w:rsidRPr="00E3618B" w:rsidRDefault="008C0AB8" w:rsidP="008C0AB8">
      <w:pPr>
        <w:keepNext/>
        <w:keepLines/>
        <w:rPr>
          <w:rFonts w:cs="Arial"/>
          <w:color w:val="000000" w:themeColor="text1"/>
          <w:szCs w:val="22"/>
        </w:rPr>
      </w:pPr>
      <w:r w:rsidRPr="00E3618B">
        <w:rPr>
          <w:rFonts w:cs="Arial"/>
          <w:color w:val="000000" w:themeColor="text1"/>
          <w:szCs w:val="22"/>
        </w:rPr>
        <w:t>2</w:t>
      </w:r>
      <w:r w:rsidRPr="00E3618B">
        <w:rPr>
          <w:rFonts w:cs="Arial"/>
          <w:color w:val="000000" w:themeColor="text1"/>
          <w:szCs w:val="22"/>
        </w:rPr>
        <w:tab/>
        <w:t xml:space="preserve">By [2033], and at five year periods thereafter, the Organization shall review the status of this chapter and amend the relevant provisions if necessary. </w:t>
      </w:r>
    </w:p>
    <w:p w14:paraId="5690472E" w14:textId="77777777" w:rsidR="008C0AB8" w:rsidRPr="00E3618B" w:rsidRDefault="008C0AB8" w:rsidP="008C0AB8">
      <w:pPr>
        <w:rPr>
          <w:rFonts w:cs="Arial"/>
          <w:color w:val="000000" w:themeColor="text1"/>
          <w:szCs w:val="22"/>
        </w:rPr>
      </w:pPr>
    </w:p>
    <w:p w14:paraId="78078A4C" w14:textId="77777777" w:rsidR="008C0AB8" w:rsidRPr="00E3618B" w:rsidRDefault="008C0AB8" w:rsidP="008C0AB8">
      <w:pPr>
        <w:rPr>
          <w:rFonts w:cs="Arial"/>
          <w:color w:val="000000" w:themeColor="text1"/>
          <w:szCs w:val="22"/>
        </w:rPr>
      </w:pPr>
      <w:r w:rsidRPr="00E3618B">
        <w:rPr>
          <w:rFonts w:cs="Arial"/>
          <w:color w:val="000000" w:themeColor="text1"/>
          <w:szCs w:val="22"/>
        </w:rPr>
        <w:t>3</w:t>
      </w:r>
      <w:r w:rsidRPr="00E3618B">
        <w:rPr>
          <w:rFonts w:cs="Arial"/>
          <w:color w:val="000000" w:themeColor="text1"/>
          <w:szCs w:val="22"/>
        </w:rPr>
        <w:tab/>
        <w:t>Upon completion of the work programmes of the IMO Net Zero Shipping Fund, and with the approval of the Organization, the IMO Net Zero Shipping Fund and/or, as appropriate, the maritime GHG emissions pricing mechanism</w:t>
      </w:r>
      <w:r w:rsidRPr="00E3618B" w:rsidDel="00E11826">
        <w:rPr>
          <w:rFonts w:cs="Arial"/>
          <w:color w:val="000000" w:themeColor="text1"/>
          <w:szCs w:val="22"/>
        </w:rPr>
        <w:t xml:space="preserve"> </w:t>
      </w:r>
      <w:r w:rsidRPr="00E3618B">
        <w:rPr>
          <w:rFonts w:cs="Arial"/>
          <w:color w:val="000000" w:themeColor="text1"/>
          <w:szCs w:val="22"/>
        </w:rPr>
        <w:t xml:space="preserve">shall cease operations. Upon such a determination, regulations </w:t>
      </w:r>
      <w:r>
        <w:rPr>
          <w:rFonts w:cs="Arial"/>
          <w:color w:val="000000" w:themeColor="text1"/>
          <w:szCs w:val="22"/>
        </w:rPr>
        <w:t>39</w:t>
      </w:r>
      <w:r w:rsidRPr="00E3618B">
        <w:rPr>
          <w:rFonts w:cs="Arial"/>
          <w:color w:val="000000" w:themeColor="text1"/>
          <w:szCs w:val="22"/>
        </w:rPr>
        <w:t xml:space="preserve">, </w:t>
      </w:r>
      <w:r>
        <w:rPr>
          <w:rFonts w:cs="Arial"/>
          <w:color w:val="000000" w:themeColor="text1"/>
          <w:szCs w:val="22"/>
        </w:rPr>
        <w:t>40</w:t>
      </w:r>
      <w:r w:rsidRPr="00E3618B">
        <w:rPr>
          <w:rFonts w:cs="Arial"/>
          <w:color w:val="000000" w:themeColor="text1"/>
          <w:szCs w:val="22"/>
        </w:rPr>
        <w:t xml:space="preserve">, </w:t>
      </w:r>
      <w:r>
        <w:rPr>
          <w:rFonts w:cs="Arial"/>
          <w:color w:val="000000" w:themeColor="text1"/>
          <w:szCs w:val="22"/>
        </w:rPr>
        <w:t>41</w:t>
      </w:r>
      <w:r w:rsidRPr="00E3618B">
        <w:rPr>
          <w:rFonts w:cs="Arial"/>
          <w:color w:val="000000" w:themeColor="text1"/>
          <w:szCs w:val="22"/>
        </w:rPr>
        <w:t xml:space="preserve"> and </w:t>
      </w:r>
      <w:r>
        <w:rPr>
          <w:rFonts w:cs="Arial"/>
          <w:color w:val="000000" w:themeColor="text1"/>
          <w:szCs w:val="22"/>
        </w:rPr>
        <w:t>42</w:t>
      </w:r>
      <w:r w:rsidRPr="00E3618B">
        <w:rPr>
          <w:rFonts w:cs="Arial"/>
          <w:color w:val="000000" w:themeColor="text1"/>
          <w:szCs w:val="22"/>
        </w:rPr>
        <w:t xml:space="preserve"> of this Annex shall be reviewed and may be dissolved, unless the Parties determine otherwise. </w:t>
      </w:r>
    </w:p>
    <w:p w14:paraId="5451769A" w14:textId="77777777" w:rsidR="008C0AB8" w:rsidRPr="00E3618B" w:rsidRDefault="008C0AB8" w:rsidP="008C0AB8">
      <w:pPr>
        <w:rPr>
          <w:rFonts w:cs="Arial"/>
          <w:color w:val="000000" w:themeColor="text1"/>
          <w:szCs w:val="22"/>
        </w:rPr>
      </w:pPr>
    </w:p>
    <w:p w14:paraId="543FC87D" w14:textId="77777777" w:rsidR="008C0AB8" w:rsidRPr="00E3618B" w:rsidRDefault="008C0AB8" w:rsidP="008C0AB8">
      <w:pPr>
        <w:rPr>
          <w:rFonts w:cs="Arial"/>
          <w:color w:val="000000" w:themeColor="text1"/>
          <w:szCs w:val="22"/>
        </w:rPr>
      </w:pPr>
    </w:p>
    <w:p w14:paraId="2DFB3562" w14:textId="77777777" w:rsidR="008C0AB8" w:rsidRPr="00E3618B" w:rsidRDefault="008C0AB8" w:rsidP="008C0AB8">
      <w:pPr>
        <w:jc w:val="center"/>
        <w:rPr>
          <w:rFonts w:cs="Arial"/>
          <w:color w:val="000000" w:themeColor="text1"/>
          <w:szCs w:val="22"/>
        </w:rPr>
      </w:pPr>
      <w:r w:rsidRPr="00E3618B">
        <w:rPr>
          <w:rFonts w:cs="Arial"/>
          <w:color w:val="000000" w:themeColor="text1"/>
          <w:szCs w:val="22"/>
        </w:rPr>
        <w:t>***</w:t>
      </w:r>
    </w:p>
    <w:p w14:paraId="54DC635B" w14:textId="4768E72B" w:rsidR="008C0AB8" w:rsidRDefault="008C0AB8">
      <w:pPr>
        <w:tabs>
          <w:tab w:val="clear" w:pos="851"/>
        </w:tabs>
        <w:jc w:val="left"/>
      </w:pPr>
    </w:p>
    <w:p w14:paraId="1E79272D" w14:textId="2A5897B9" w:rsidR="008C0AB8" w:rsidRDefault="008C0AB8">
      <w:pPr>
        <w:tabs>
          <w:tab w:val="clear" w:pos="851"/>
        </w:tabs>
        <w:jc w:val="left"/>
      </w:pPr>
      <w:r>
        <w:br w:type="page"/>
      </w:r>
    </w:p>
    <w:p w14:paraId="4CD8C8DA" w14:textId="77777777" w:rsidR="008C0AB8" w:rsidRPr="00E3618B" w:rsidRDefault="008C0AB8" w:rsidP="008C0AB8">
      <w:pPr>
        <w:jc w:val="center"/>
        <w:rPr>
          <w:rFonts w:cs="Arial"/>
          <w:b/>
          <w:bCs/>
          <w:caps/>
          <w:color w:val="000000" w:themeColor="text1"/>
          <w:szCs w:val="22"/>
        </w:rPr>
      </w:pPr>
      <w:r w:rsidRPr="00E3618B">
        <w:rPr>
          <w:rFonts w:cs="Arial"/>
          <w:b/>
          <w:bCs/>
          <w:caps/>
          <w:color w:val="000000" w:themeColor="text1"/>
          <w:szCs w:val="22"/>
        </w:rPr>
        <w:lastRenderedPageBreak/>
        <w:t>appendix [XII]</w:t>
      </w:r>
    </w:p>
    <w:p w14:paraId="339E37E6" w14:textId="77777777" w:rsidR="008C0AB8" w:rsidRPr="00E3618B" w:rsidRDefault="008C0AB8" w:rsidP="008C0AB8">
      <w:pPr>
        <w:rPr>
          <w:rFonts w:cs="Arial"/>
          <w:b/>
          <w:bCs/>
          <w:color w:val="000000" w:themeColor="text1"/>
          <w:szCs w:val="22"/>
        </w:rPr>
      </w:pPr>
    </w:p>
    <w:p w14:paraId="57D35130" w14:textId="77777777" w:rsidR="008C0AB8" w:rsidRPr="00E3618B" w:rsidRDefault="008C0AB8" w:rsidP="008C0AB8">
      <w:pPr>
        <w:jc w:val="center"/>
        <w:rPr>
          <w:rFonts w:cs="Arial"/>
          <w:b/>
          <w:bCs/>
          <w:color w:val="000000" w:themeColor="text1"/>
          <w:szCs w:val="22"/>
        </w:rPr>
      </w:pPr>
      <w:r w:rsidRPr="00E3618B">
        <w:rPr>
          <w:rFonts w:cs="Arial"/>
          <w:b/>
          <w:bCs/>
          <w:color w:val="000000" w:themeColor="text1"/>
          <w:szCs w:val="22"/>
        </w:rPr>
        <w:t>Form of the Statement of Compliance – Maritime GHG Emissions Pricing Mechanism</w:t>
      </w:r>
    </w:p>
    <w:p w14:paraId="60DE8816" w14:textId="77777777" w:rsidR="008C0AB8" w:rsidRPr="00E3618B" w:rsidRDefault="008C0AB8" w:rsidP="008C0AB8">
      <w:pPr>
        <w:rPr>
          <w:rFonts w:cs="Arial"/>
          <w:color w:val="000000" w:themeColor="text1"/>
          <w:szCs w:val="22"/>
        </w:rPr>
      </w:pPr>
    </w:p>
    <w:p w14:paraId="5417922D" w14:textId="77777777" w:rsidR="008C0AB8" w:rsidRPr="00E3618B" w:rsidRDefault="008C0AB8" w:rsidP="008C0AB8">
      <w:pPr>
        <w:jc w:val="center"/>
        <w:rPr>
          <w:rFonts w:cs="Arial"/>
          <w:b/>
          <w:bCs/>
          <w:color w:val="000000" w:themeColor="text1"/>
          <w:szCs w:val="22"/>
        </w:rPr>
      </w:pPr>
      <w:r w:rsidRPr="00E3618B">
        <w:rPr>
          <w:rFonts w:cs="Arial"/>
          <w:b/>
          <w:bCs/>
          <w:color w:val="000000" w:themeColor="text1"/>
          <w:szCs w:val="22"/>
        </w:rPr>
        <w:t>STATEMENT OF COMPLIANCE – MARITIME GHG EMISSIONS PRICING MECHANISM</w:t>
      </w:r>
    </w:p>
    <w:p w14:paraId="274FAE8D" w14:textId="77777777" w:rsidR="008C0AB8" w:rsidRPr="00E3618B" w:rsidRDefault="008C0AB8" w:rsidP="008C0AB8">
      <w:pPr>
        <w:rPr>
          <w:rFonts w:cs="Arial"/>
          <w:color w:val="000000" w:themeColor="text1"/>
          <w:szCs w:val="22"/>
        </w:rPr>
      </w:pPr>
    </w:p>
    <w:p w14:paraId="36E827C5" w14:textId="77777777" w:rsidR="008C0AB8" w:rsidRPr="00E3618B" w:rsidRDefault="008C0AB8" w:rsidP="008C0AB8">
      <w:pPr>
        <w:rPr>
          <w:rFonts w:cs="Arial"/>
          <w:color w:val="000000" w:themeColor="text1"/>
          <w:szCs w:val="22"/>
        </w:rPr>
      </w:pPr>
      <w:r w:rsidRPr="00E3618B">
        <w:rPr>
          <w:rFonts w:cs="Arial"/>
          <w:color w:val="000000" w:themeColor="text1"/>
          <w:szCs w:val="22"/>
        </w:rPr>
        <w:t>Issued under the provisions of the Protocol of 1997, as amended, to amend the International Convention for the Prevention of Pollution from Ships, 1973, as modified by the Protocol of 1978 related thereto (hereinafter referred to as "the Convention") under the authority of the Government of:</w:t>
      </w:r>
    </w:p>
    <w:p w14:paraId="034A9486" w14:textId="77777777" w:rsidR="008C0AB8" w:rsidRPr="00E3618B" w:rsidRDefault="008C0AB8" w:rsidP="008C0AB8">
      <w:pPr>
        <w:rPr>
          <w:rFonts w:cs="Arial"/>
          <w:color w:val="000000" w:themeColor="text1"/>
          <w:szCs w:val="22"/>
        </w:rPr>
      </w:pPr>
    </w:p>
    <w:p w14:paraId="5F3097FE"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 . . . . . . . . . . . . . . . . . . . . . . . . . . . . . . . . . . . . . . . . . . . . . . . . . . . . . . . . . . . . . . . . . . . </w:t>
      </w:r>
    </w:p>
    <w:p w14:paraId="6643D7C5" w14:textId="77777777" w:rsidR="008C0AB8" w:rsidRPr="00E3618B" w:rsidRDefault="008C0AB8" w:rsidP="008C0AB8">
      <w:pPr>
        <w:rPr>
          <w:rFonts w:cs="Arial"/>
          <w:color w:val="000000" w:themeColor="text1"/>
          <w:szCs w:val="22"/>
        </w:rPr>
      </w:pPr>
      <w:r w:rsidRPr="00E3618B">
        <w:rPr>
          <w:rFonts w:cs="Arial"/>
          <w:color w:val="000000" w:themeColor="text1"/>
          <w:szCs w:val="22"/>
        </w:rPr>
        <w:t>(</w:t>
      </w:r>
      <w:r w:rsidRPr="00E3618B">
        <w:rPr>
          <w:rFonts w:cs="Arial"/>
          <w:i/>
          <w:iCs/>
          <w:color w:val="000000" w:themeColor="text1"/>
          <w:szCs w:val="22"/>
        </w:rPr>
        <w:t>full designation of the Party</w:t>
      </w:r>
      <w:r w:rsidRPr="00E3618B">
        <w:rPr>
          <w:rFonts w:cs="Arial"/>
          <w:color w:val="000000" w:themeColor="text1"/>
          <w:szCs w:val="22"/>
        </w:rPr>
        <w:t>)</w:t>
      </w:r>
    </w:p>
    <w:p w14:paraId="53B99202" w14:textId="77777777" w:rsidR="008C0AB8" w:rsidRPr="00E3618B" w:rsidRDefault="008C0AB8" w:rsidP="008C0AB8">
      <w:pPr>
        <w:rPr>
          <w:rFonts w:cs="Arial"/>
          <w:color w:val="000000" w:themeColor="text1"/>
          <w:szCs w:val="22"/>
        </w:rPr>
      </w:pPr>
    </w:p>
    <w:p w14:paraId="112330B8"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by . . . . . . . . . . . . . . . . . . . . . . . . . . . . . . . . . . . . . . . . . . . . . . . . . . . . . . . . . . . . . . . . . . </w:t>
      </w:r>
    </w:p>
    <w:p w14:paraId="0E10BC18" w14:textId="77777777" w:rsidR="008C0AB8" w:rsidRPr="00E3618B" w:rsidRDefault="008C0AB8" w:rsidP="008C0AB8">
      <w:pPr>
        <w:rPr>
          <w:rFonts w:cs="Arial"/>
          <w:color w:val="000000" w:themeColor="text1"/>
          <w:szCs w:val="22"/>
        </w:rPr>
      </w:pPr>
      <w:r w:rsidRPr="00E3618B">
        <w:rPr>
          <w:rFonts w:cs="Arial"/>
          <w:color w:val="000000" w:themeColor="text1"/>
          <w:szCs w:val="22"/>
        </w:rPr>
        <w:t>(</w:t>
      </w:r>
      <w:r w:rsidRPr="00E3618B">
        <w:rPr>
          <w:rFonts w:cs="Arial"/>
          <w:i/>
          <w:iCs/>
          <w:color w:val="000000" w:themeColor="text1"/>
          <w:szCs w:val="22"/>
        </w:rPr>
        <w:t>full designation of the competent person or organization authorized under the provisions of the Convention</w:t>
      </w:r>
      <w:r w:rsidRPr="00E3618B">
        <w:rPr>
          <w:rFonts w:cs="Arial"/>
          <w:color w:val="000000" w:themeColor="text1"/>
          <w:szCs w:val="22"/>
        </w:rPr>
        <w:t>)</w:t>
      </w:r>
    </w:p>
    <w:p w14:paraId="330C8F81" w14:textId="77777777" w:rsidR="008C0AB8" w:rsidRPr="00E3618B" w:rsidRDefault="008C0AB8" w:rsidP="008C0AB8">
      <w:pPr>
        <w:rPr>
          <w:rFonts w:cs="Arial"/>
          <w:color w:val="000000" w:themeColor="text1"/>
          <w:szCs w:val="22"/>
        </w:rPr>
      </w:pPr>
    </w:p>
    <w:p w14:paraId="03EA16D7" w14:textId="77777777" w:rsidR="008C0AB8" w:rsidRPr="00E3618B" w:rsidRDefault="008C0AB8" w:rsidP="008C0AB8">
      <w:pPr>
        <w:rPr>
          <w:rFonts w:cs="Arial"/>
          <w:color w:val="000000" w:themeColor="text1"/>
          <w:szCs w:val="22"/>
        </w:rPr>
      </w:pPr>
      <w:r w:rsidRPr="00E3618B">
        <w:rPr>
          <w:rFonts w:cs="Arial"/>
          <w:b/>
          <w:bCs/>
          <w:color w:val="000000" w:themeColor="text1"/>
          <w:szCs w:val="22"/>
        </w:rPr>
        <w:t>Particulars of ship</w:t>
      </w:r>
      <w:r w:rsidRPr="00E3618B">
        <w:rPr>
          <w:rStyle w:val="FootnoteReference"/>
          <w:rFonts w:cs="Arial"/>
          <w:color w:val="000000" w:themeColor="text1"/>
          <w:szCs w:val="22"/>
        </w:rPr>
        <w:footnoteReference w:id="28"/>
      </w:r>
    </w:p>
    <w:p w14:paraId="467AFAD1" w14:textId="77777777" w:rsidR="008C0AB8" w:rsidRPr="00E3618B" w:rsidRDefault="008C0AB8" w:rsidP="008C0AB8">
      <w:pPr>
        <w:rPr>
          <w:rFonts w:cs="Arial"/>
          <w:color w:val="000000" w:themeColor="text1"/>
          <w:szCs w:val="22"/>
        </w:rPr>
      </w:pPr>
    </w:p>
    <w:p w14:paraId="76F4ED0E" w14:textId="77777777" w:rsidR="008C0AB8" w:rsidRPr="00E3618B" w:rsidRDefault="008C0AB8" w:rsidP="008C0AB8">
      <w:pPr>
        <w:rPr>
          <w:rFonts w:cs="Arial"/>
          <w:color w:val="000000" w:themeColor="text1"/>
          <w:szCs w:val="22"/>
        </w:rPr>
      </w:pPr>
      <w:r w:rsidRPr="00E3618B">
        <w:rPr>
          <w:rFonts w:cs="Arial"/>
          <w:color w:val="000000" w:themeColor="text1"/>
          <w:szCs w:val="22"/>
        </w:rPr>
        <w:t>Name of ship . . . . . . . . . . . . . . . . . . . . . . . . . . . . . . . . . . . . . . . . . . . . . . . . . . . . . . . . .</w:t>
      </w:r>
    </w:p>
    <w:p w14:paraId="2D3716B7" w14:textId="77777777" w:rsidR="008C0AB8" w:rsidRPr="00E3618B" w:rsidRDefault="008C0AB8" w:rsidP="008C0AB8">
      <w:pPr>
        <w:rPr>
          <w:rFonts w:cs="Arial"/>
          <w:color w:val="000000" w:themeColor="text1"/>
          <w:szCs w:val="22"/>
        </w:rPr>
      </w:pPr>
    </w:p>
    <w:p w14:paraId="356F4239" w14:textId="77777777" w:rsidR="008C0AB8" w:rsidRPr="00E3618B" w:rsidRDefault="008C0AB8" w:rsidP="008C0AB8">
      <w:pPr>
        <w:rPr>
          <w:rFonts w:cs="Arial"/>
          <w:color w:val="000000" w:themeColor="text1"/>
          <w:szCs w:val="22"/>
        </w:rPr>
      </w:pPr>
      <w:r w:rsidRPr="00E3618B">
        <w:rPr>
          <w:rFonts w:cs="Arial"/>
          <w:color w:val="000000" w:themeColor="text1"/>
          <w:szCs w:val="22"/>
        </w:rPr>
        <w:t>Distinctive number or letters. . . . . . . . . . . . . . . . . . . . . . . . . . . . . . . . . . . . . . . . . . . . .</w:t>
      </w:r>
    </w:p>
    <w:p w14:paraId="084C5316" w14:textId="77777777" w:rsidR="008C0AB8" w:rsidRPr="00E3618B" w:rsidRDefault="008C0AB8" w:rsidP="008C0AB8">
      <w:pPr>
        <w:rPr>
          <w:rFonts w:cs="Arial"/>
          <w:color w:val="000000" w:themeColor="text1"/>
          <w:szCs w:val="22"/>
        </w:rPr>
      </w:pPr>
    </w:p>
    <w:p w14:paraId="731C2651" w14:textId="77777777" w:rsidR="008C0AB8" w:rsidRPr="00E3618B" w:rsidRDefault="008C0AB8" w:rsidP="008C0AB8">
      <w:pPr>
        <w:rPr>
          <w:rFonts w:cs="Arial"/>
          <w:color w:val="000000" w:themeColor="text1"/>
          <w:szCs w:val="22"/>
        </w:rPr>
      </w:pPr>
      <w:r w:rsidRPr="00E3618B">
        <w:rPr>
          <w:rFonts w:cs="Arial"/>
          <w:color w:val="000000" w:themeColor="text1"/>
          <w:szCs w:val="22"/>
        </w:rPr>
        <w:t>IMO Number</w:t>
      </w:r>
      <w:r w:rsidRPr="00E3618B">
        <w:rPr>
          <w:rStyle w:val="FootnoteReference"/>
          <w:rFonts w:cs="Arial"/>
          <w:color w:val="000000" w:themeColor="text1"/>
          <w:szCs w:val="22"/>
        </w:rPr>
        <w:footnoteReference w:id="29"/>
      </w:r>
      <w:r w:rsidRPr="00E3618B">
        <w:rPr>
          <w:rFonts w:cs="Arial"/>
          <w:color w:val="000000" w:themeColor="text1"/>
          <w:szCs w:val="22"/>
        </w:rPr>
        <w:t xml:space="preserve">  . . . . . . . . . . . . . . . . . . . . . . . . . . . . . . . . . . . . . . . . . . . . . . . . . . . . . . . . . </w:t>
      </w:r>
    </w:p>
    <w:p w14:paraId="19F6DB87" w14:textId="77777777" w:rsidR="008C0AB8" w:rsidRPr="00E3618B" w:rsidRDefault="008C0AB8" w:rsidP="008C0AB8">
      <w:pPr>
        <w:rPr>
          <w:rFonts w:cs="Arial"/>
          <w:color w:val="000000" w:themeColor="text1"/>
          <w:szCs w:val="22"/>
        </w:rPr>
      </w:pPr>
    </w:p>
    <w:p w14:paraId="2E508550"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Port of registry . . . . . . . . . . . . . . . . . . . . . . . . . . . . . . . . . . . . . . . . . . . . . . . . . . . . . . . . </w:t>
      </w:r>
    </w:p>
    <w:p w14:paraId="62171B89" w14:textId="77777777" w:rsidR="008C0AB8" w:rsidRPr="00E3618B" w:rsidRDefault="008C0AB8" w:rsidP="008C0AB8">
      <w:pPr>
        <w:rPr>
          <w:rFonts w:cs="Arial"/>
          <w:color w:val="000000" w:themeColor="text1"/>
          <w:szCs w:val="22"/>
        </w:rPr>
      </w:pPr>
    </w:p>
    <w:p w14:paraId="2B884FEE"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Gross tonnage. . . . . . . . . . . . . . . . . . . . . . . . . . . . . . . . . . . . . . . . . . .. . . . . . . . . . . . . .   </w:t>
      </w:r>
    </w:p>
    <w:p w14:paraId="276F2C4A" w14:textId="77777777" w:rsidR="008C0AB8" w:rsidRPr="00E3618B" w:rsidRDefault="008C0AB8" w:rsidP="008C0AB8">
      <w:pPr>
        <w:rPr>
          <w:rFonts w:cs="Arial"/>
          <w:color w:val="000000" w:themeColor="text1"/>
          <w:szCs w:val="22"/>
        </w:rPr>
      </w:pPr>
    </w:p>
    <w:p w14:paraId="6F02C9A7"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THIS IS TO DECLARE: </w:t>
      </w:r>
    </w:p>
    <w:p w14:paraId="58FF0367" w14:textId="77777777" w:rsidR="008C0AB8" w:rsidRPr="00E3618B" w:rsidRDefault="008C0AB8" w:rsidP="008C0AB8">
      <w:pPr>
        <w:rPr>
          <w:rFonts w:cs="Arial"/>
          <w:color w:val="000000" w:themeColor="text1"/>
          <w:szCs w:val="22"/>
        </w:rPr>
      </w:pPr>
    </w:p>
    <w:p w14:paraId="4A326A72" w14:textId="1AFA0C24" w:rsidR="008C0AB8" w:rsidRPr="00E3618B" w:rsidRDefault="008C0AB8" w:rsidP="008C0AB8">
      <w:pPr>
        <w:ind w:left="851" w:hanging="851"/>
        <w:rPr>
          <w:rFonts w:cs="Arial"/>
          <w:color w:val="000000" w:themeColor="text1"/>
          <w:szCs w:val="22"/>
        </w:rPr>
      </w:pPr>
      <w:r w:rsidRPr="00E3618B">
        <w:rPr>
          <w:rFonts w:cs="Arial"/>
          <w:color w:val="000000" w:themeColor="text1"/>
          <w:szCs w:val="22"/>
        </w:rPr>
        <w:t>1.</w:t>
      </w:r>
      <w:r w:rsidRPr="00E3618B">
        <w:rPr>
          <w:rFonts w:cs="Arial"/>
          <w:color w:val="000000" w:themeColor="text1"/>
          <w:szCs w:val="22"/>
        </w:rPr>
        <w:tab/>
        <w:t xml:space="preserve">That the ship has submitted to this Administration an Annual Account Statement required by regulation </w:t>
      </w:r>
      <w:r>
        <w:rPr>
          <w:rFonts w:cs="Arial"/>
          <w:color w:val="000000" w:themeColor="text1"/>
          <w:szCs w:val="22"/>
        </w:rPr>
        <w:t>40</w:t>
      </w:r>
      <w:r w:rsidRPr="00E3618B">
        <w:rPr>
          <w:rFonts w:cs="Arial"/>
          <w:color w:val="000000" w:themeColor="text1"/>
          <w:szCs w:val="22"/>
        </w:rPr>
        <w:t>.</w:t>
      </w:r>
      <w:r w:rsidR="00B361F8">
        <w:rPr>
          <w:rFonts w:cs="Arial"/>
          <w:color w:val="000000" w:themeColor="text1"/>
          <w:szCs w:val="22"/>
        </w:rPr>
        <w:t>9</w:t>
      </w:r>
      <w:r w:rsidR="00B361F8" w:rsidRPr="00E3618B">
        <w:rPr>
          <w:rFonts w:cs="Arial"/>
          <w:color w:val="000000" w:themeColor="text1"/>
          <w:szCs w:val="22"/>
        </w:rPr>
        <w:t xml:space="preserve"> </w:t>
      </w:r>
      <w:r w:rsidRPr="00E3618B">
        <w:rPr>
          <w:rFonts w:cs="Arial"/>
          <w:color w:val="000000" w:themeColor="text1"/>
          <w:szCs w:val="22"/>
        </w:rPr>
        <w:t xml:space="preserve">of Annex VI of the Convention, which is consistent with the ship’s fuel consumption data pursuant to regulation 27.3 of </w:t>
      </w:r>
      <w:r w:rsidRPr="00E3618B">
        <w:rPr>
          <w:rFonts w:cs="Arial"/>
          <w:color w:val="000000" w:themeColor="text1"/>
          <w:szCs w:val="22"/>
        </w:rPr>
        <w:br/>
        <w:t>Annex VI of the Convention, covering ship operations from (01/01/</w:t>
      </w:r>
      <w:proofErr w:type="spellStart"/>
      <w:r w:rsidRPr="00E3618B">
        <w:rPr>
          <w:rFonts w:cs="Arial"/>
          <w:color w:val="000000" w:themeColor="text1"/>
          <w:szCs w:val="22"/>
        </w:rPr>
        <w:t>yyyy</w:t>
      </w:r>
      <w:proofErr w:type="spellEnd"/>
      <w:r w:rsidRPr="00E3618B">
        <w:rPr>
          <w:rFonts w:cs="Arial"/>
          <w:color w:val="000000" w:themeColor="text1"/>
          <w:szCs w:val="22"/>
        </w:rPr>
        <w:t>) through (31/12/</w:t>
      </w:r>
      <w:proofErr w:type="spellStart"/>
      <w:r w:rsidRPr="00E3618B">
        <w:rPr>
          <w:rFonts w:cs="Arial"/>
          <w:color w:val="000000" w:themeColor="text1"/>
          <w:szCs w:val="22"/>
        </w:rPr>
        <w:t>yyyy</w:t>
      </w:r>
      <w:proofErr w:type="spellEnd"/>
      <w:r w:rsidRPr="00E3618B">
        <w:rPr>
          <w:rFonts w:cs="Arial"/>
          <w:color w:val="000000" w:themeColor="text1"/>
          <w:szCs w:val="22"/>
        </w:rPr>
        <w:t>).</w:t>
      </w:r>
    </w:p>
    <w:p w14:paraId="0B2A8410"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 </w:t>
      </w:r>
    </w:p>
    <w:p w14:paraId="79191BD2" w14:textId="77777777" w:rsidR="008C0AB8" w:rsidRPr="00E3618B" w:rsidRDefault="008C0AB8" w:rsidP="008C0AB8">
      <w:pPr>
        <w:rPr>
          <w:rFonts w:cs="Arial"/>
          <w:color w:val="000000" w:themeColor="text1"/>
          <w:szCs w:val="22"/>
        </w:rPr>
      </w:pPr>
      <w:r w:rsidRPr="00E3618B">
        <w:rPr>
          <w:rFonts w:cs="Arial"/>
          <w:color w:val="000000" w:themeColor="text1"/>
          <w:szCs w:val="22"/>
        </w:rPr>
        <w:t>This Statement of Compliance is valid until (dd/mm/</w:t>
      </w:r>
      <w:proofErr w:type="spellStart"/>
      <w:r w:rsidRPr="00E3618B">
        <w:rPr>
          <w:rFonts w:cs="Arial"/>
          <w:color w:val="000000" w:themeColor="text1"/>
          <w:szCs w:val="22"/>
        </w:rPr>
        <w:t>yyyy</w:t>
      </w:r>
      <w:proofErr w:type="spellEnd"/>
      <w:r w:rsidRPr="00E3618B">
        <w:rPr>
          <w:rFonts w:cs="Arial"/>
          <w:color w:val="000000" w:themeColor="text1"/>
          <w:szCs w:val="22"/>
        </w:rPr>
        <w:t xml:space="preserve">) . . . . . . . . . . . . . . . . . . . . . . . </w:t>
      </w:r>
    </w:p>
    <w:p w14:paraId="534D4877" w14:textId="77777777" w:rsidR="008C0AB8" w:rsidRPr="00E3618B" w:rsidRDefault="008C0AB8" w:rsidP="008C0AB8">
      <w:pPr>
        <w:rPr>
          <w:rFonts w:cs="Arial"/>
          <w:color w:val="000000" w:themeColor="text1"/>
          <w:szCs w:val="22"/>
        </w:rPr>
      </w:pPr>
    </w:p>
    <w:p w14:paraId="56E1DCC3" w14:textId="77777777" w:rsidR="008C0AB8" w:rsidRPr="00E3618B" w:rsidRDefault="008C0AB8" w:rsidP="008C0AB8">
      <w:pPr>
        <w:rPr>
          <w:rFonts w:cs="Arial"/>
          <w:color w:val="000000" w:themeColor="text1"/>
          <w:szCs w:val="22"/>
        </w:rPr>
      </w:pPr>
      <w:r w:rsidRPr="00E3618B">
        <w:rPr>
          <w:rFonts w:cs="Arial"/>
          <w:color w:val="000000" w:themeColor="text1"/>
          <w:szCs w:val="22"/>
        </w:rPr>
        <w:t xml:space="preserve">Issued at: . . . . . . . . . . . . . . . . . . . . . . . . . . . . . . . . . . . . . . . . . . . . . . . . . . . . . . . . . . . . </w:t>
      </w:r>
    </w:p>
    <w:p w14:paraId="31DF1562" w14:textId="77777777" w:rsidR="008C0AB8" w:rsidRPr="00E3618B" w:rsidRDefault="008C0AB8" w:rsidP="008C0AB8">
      <w:pPr>
        <w:rPr>
          <w:rFonts w:cs="Arial"/>
          <w:color w:val="000000" w:themeColor="text1"/>
          <w:szCs w:val="22"/>
        </w:rPr>
      </w:pPr>
      <w:r w:rsidRPr="00E3618B">
        <w:rPr>
          <w:rFonts w:cs="Arial"/>
          <w:color w:val="000000" w:themeColor="text1"/>
          <w:szCs w:val="22"/>
        </w:rPr>
        <w:t>(</w:t>
      </w:r>
      <w:r w:rsidRPr="00E3618B">
        <w:rPr>
          <w:rFonts w:cs="Arial"/>
          <w:i/>
          <w:iCs/>
          <w:color w:val="000000" w:themeColor="text1"/>
          <w:szCs w:val="22"/>
        </w:rPr>
        <w:t>place of issue of Statement</w:t>
      </w:r>
      <w:r w:rsidRPr="00E3618B">
        <w:rPr>
          <w:rFonts w:cs="Arial"/>
          <w:color w:val="000000" w:themeColor="text1"/>
          <w:szCs w:val="22"/>
        </w:rPr>
        <w:t>)</w:t>
      </w:r>
    </w:p>
    <w:p w14:paraId="564423B2" w14:textId="77777777" w:rsidR="008C0AB8" w:rsidRPr="00E3618B" w:rsidRDefault="008C0AB8" w:rsidP="008C0AB8">
      <w:pPr>
        <w:rPr>
          <w:rFonts w:cs="Arial"/>
          <w:color w:val="000000" w:themeColor="text1"/>
          <w:szCs w:val="22"/>
        </w:rPr>
      </w:pPr>
    </w:p>
    <w:p w14:paraId="0F1A4E5E" w14:textId="77777777" w:rsidR="008C0AB8" w:rsidRPr="00E3618B" w:rsidRDefault="008C0AB8" w:rsidP="008C0AB8">
      <w:pPr>
        <w:rPr>
          <w:rFonts w:cs="Arial"/>
          <w:color w:val="000000" w:themeColor="text1"/>
          <w:szCs w:val="22"/>
        </w:rPr>
      </w:pPr>
      <w:r w:rsidRPr="00E3618B">
        <w:rPr>
          <w:rFonts w:cs="Arial"/>
          <w:color w:val="000000" w:themeColor="text1"/>
          <w:szCs w:val="22"/>
        </w:rPr>
        <w:t>Date (dd/mm/</w:t>
      </w:r>
      <w:proofErr w:type="spellStart"/>
      <w:r w:rsidRPr="00E3618B">
        <w:rPr>
          <w:rFonts w:cs="Arial"/>
          <w:color w:val="000000" w:themeColor="text1"/>
          <w:szCs w:val="22"/>
        </w:rPr>
        <w:t>yyyy</w:t>
      </w:r>
      <w:proofErr w:type="spellEnd"/>
      <w:r w:rsidRPr="00E3618B">
        <w:rPr>
          <w:rFonts w:cs="Arial"/>
          <w:color w:val="000000" w:themeColor="text1"/>
          <w:szCs w:val="22"/>
        </w:rPr>
        <w:t xml:space="preserve">) . . . . . . . . . . . .  . . . . . . .                    . . . . . . . . . . . . . . . . . . . . . . . . </w:t>
      </w:r>
    </w:p>
    <w:p w14:paraId="7F3D126F" w14:textId="77777777" w:rsidR="008C0AB8" w:rsidRPr="00E3618B" w:rsidRDefault="008C0AB8" w:rsidP="008C0AB8">
      <w:pPr>
        <w:ind w:left="5812" w:hanging="3544"/>
        <w:rPr>
          <w:rFonts w:cs="Arial"/>
          <w:color w:val="000000" w:themeColor="text1"/>
          <w:szCs w:val="22"/>
        </w:rPr>
      </w:pPr>
      <w:r w:rsidRPr="00E3618B">
        <w:rPr>
          <w:rFonts w:cs="Arial"/>
          <w:color w:val="000000" w:themeColor="text1"/>
          <w:szCs w:val="22"/>
        </w:rPr>
        <w:t>(</w:t>
      </w:r>
      <w:r w:rsidRPr="00E3618B">
        <w:rPr>
          <w:rFonts w:cs="Arial"/>
          <w:i/>
          <w:iCs/>
          <w:color w:val="000000" w:themeColor="text1"/>
          <w:szCs w:val="22"/>
        </w:rPr>
        <w:t>date of issue</w:t>
      </w:r>
      <w:r w:rsidRPr="00E3618B">
        <w:rPr>
          <w:rFonts w:cs="Arial"/>
          <w:color w:val="000000" w:themeColor="text1"/>
          <w:szCs w:val="22"/>
        </w:rPr>
        <w:t xml:space="preserve">) </w:t>
      </w:r>
      <w:r w:rsidRPr="00E3618B">
        <w:rPr>
          <w:rFonts w:cs="Arial"/>
          <w:color w:val="000000" w:themeColor="text1"/>
          <w:szCs w:val="22"/>
        </w:rPr>
        <w:tab/>
        <w:t>(</w:t>
      </w:r>
      <w:r w:rsidRPr="00E3618B">
        <w:rPr>
          <w:rFonts w:cs="Arial"/>
          <w:i/>
          <w:iCs/>
          <w:color w:val="000000" w:themeColor="text1"/>
          <w:szCs w:val="22"/>
        </w:rPr>
        <w:t>signature of duly authorized official issuing the Statement</w:t>
      </w:r>
      <w:r w:rsidRPr="00E3618B">
        <w:rPr>
          <w:rFonts w:cs="Arial"/>
          <w:color w:val="000000" w:themeColor="text1"/>
          <w:szCs w:val="22"/>
        </w:rPr>
        <w:t>)</w:t>
      </w:r>
    </w:p>
    <w:p w14:paraId="64F9258E" w14:textId="77777777" w:rsidR="008C0AB8" w:rsidRPr="00E3618B" w:rsidRDefault="008C0AB8" w:rsidP="008C0AB8">
      <w:pPr>
        <w:rPr>
          <w:rFonts w:cs="Arial"/>
          <w:color w:val="000000" w:themeColor="text1"/>
          <w:szCs w:val="22"/>
        </w:rPr>
      </w:pPr>
    </w:p>
    <w:p w14:paraId="5F8275C7" w14:textId="4A448004" w:rsidR="008C0AB8" w:rsidRDefault="008C0AB8" w:rsidP="008C0AB8">
      <w:pPr>
        <w:rPr>
          <w:rFonts w:cs="Arial"/>
          <w:color w:val="000000" w:themeColor="text1"/>
          <w:szCs w:val="22"/>
        </w:rPr>
      </w:pPr>
      <w:r w:rsidRPr="00E3618B">
        <w:rPr>
          <w:rFonts w:cs="Arial"/>
          <w:color w:val="000000" w:themeColor="text1"/>
          <w:szCs w:val="22"/>
        </w:rPr>
        <w:tab/>
      </w:r>
      <w:r w:rsidRPr="00E3618B">
        <w:rPr>
          <w:rFonts w:cs="Arial"/>
          <w:color w:val="000000" w:themeColor="text1"/>
          <w:szCs w:val="22"/>
        </w:rPr>
        <w:tab/>
      </w:r>
      <w:r w:rsidRPr="00E3618B">
        <w:rPr>
          <w:rFonts w:cs="Arial"/>
          <w:color w:val="000000" w:themeColor="text1"/>
          <w:szCs w:val="22"/>
        </w:rPr>
        <w:tab/>
      </w:r>
      <w:r w:rsidRPr="00E3618B">
        <w:rPr>
          <w:rFonts w:cs="Arial"/>
          <w:color w:val="000000" w:themeColor="text1"/>
          <w:szCs w:val="22"/>
        </w:rPr>
        <w:tab/>
        <w:t>(</w:t>
      </w:r>
      <w:r w:rsidRPr="00E3618B">
        <w:rPr>
          <w:rFonts w:cs="Arial"/>
          <w:i/>
          <w:iCs/>
          <w:color w:val="000000" w:themeColor="text1"/>
          <w:szCs w:val="22"/>
        </w:rPr>
        <w:t>seal or stamp of the authority, as appropriate</w:t>
      </w:r>
      <w:r w:rsidRPr="00E3618B">
        <w:rPr>
          <w:rFonts w:cs="Arial"/>
          <w:color w:val="000000" w:themeColor="text1"/>
          <w:szCs w:val="22"/>
        </w:rPr>
        <w:t>)</w:t>
      </w:r>
    </w:p>
    <w:p w14:paraId="40EFEDAC" w14:textId="77777777" w:rsidR="008C0AB8" w:rsidRPr="00E3618B" w:rsidRDefault="008C0AB8" w:rsidP="008C0AB8">
      <w:pPr>
        <w:rPr>
          <w:rFonts w:cs="Arial"/>
          <w:color w:val="000000" w:themeColor="text1"/>
          <w:szCs w:val="22"/>
        </w:rPr>
      </w:pPr>
    </w:p>
    <w:p w14:paraId="19EB3F38" w14:textId="77777777" w:rsidR="002C1EA8" w:rsidRDefault="008C0AB8" w:rsidP="008C0AB8">
      <w:pPr>
        <w:jc w:val="center"/>
        <w:rPr>
          <w:rFonts w:cs="Arial"/>
          <w:color w:val="000000" w:themeColor="text1"/>
          <w:szCs w:val="22"/>
        </w:rPr>
        <w:sectPr w:rsidR="002C1EA8" w:rsidSect="00C97D3A">
          <w:headerReference w:type="default" r:id="rId23"/>
          <w:headerReference w:type="first" r:id="rId24"/>
          <w:pgSz w:w="11906" w:h="16838" w:code="9"/>
          <w:pgMar w:top="1134" w:right="1418" w:bottom="1418" w:left="1418" w:header="851" w:footer="851" w:gutter="0"/>
          <w:pgNumType w:start="1"/>
          <w:cols w:space="720"/>
          <w:docGrid w:linePitch="326"/>
        </w:sectPr>
      </w:pPr>
      <w:r w:rsidRPr="00E3618B">
        <w:rPr>
          <w:rFonts w:cs="Arial"/>
          <w:color w:val="000000" w:themeColor="text1"/>
          <w:szCs w:val="22"/>
        </w:rPr>
        <w:t>***</w:t>
      </w:r>
    </w:p>
    <w:p w14:paraId="528E6900" w14:textId="77777777" w:rsidR="0051485E" w:rsidRPr="00E3618B" w:rsidRDefault="0051485E" w:rsidP="0051485E">
      <w:pPr>
        <w:jc w:val="center"/>
        <w:rPr>
          <w:b/>
          <w:bCs/>
          <w:caps/>
          <w:color w:val="000000" w:themeColor="text1"/>
          <w:szCs w:val="22"/>
        </w:rPr>
      </w:pPr>
      <w:r w:rsidRPr="00E3618B">
        <w:rPr>
          <w:b/>
          <w:bCs/>
          <w:caps/>
          <w:color w:val="000000" w:themeColor="text1"/>
          <w:szCs w:val="22"/>
        </w:rPr>
        <w:lastRenderedPageBreak/>
        <w:t>Annex 2</w:t>
      </w:r>
    </w:p>
    <w:p w14:paraId="3C5EF5D9" w14:textId="77777777" w:rsidR="0051485E" w:rsidRPr="00E3618B" w:rsidRDefault="0051485E" w:rsidP="0051485E">
      <w:pPr>
        <w:rPr>
          <w:b/>
          <w:bCs/>
          <w:caps/>
          <w:color w:val="000000" w:themeColor="text1"/>
          <w:szCs w:val="22"/>
        </w:rPr>
      </w:pPr>
    </w:p>
    <w:p w14:paraId="220A5F4C" w14:textId="77777777" w:rsidR="0051485E" w:rsidRPr="00E3618B" w:rsidRDefault="0051485E" w:rsidP="0051485E">
      <w:pPr>
        <w:jc w:val="center"/>
        <w:rPr>
          <w:b/>
          <w:bCs/>
          <w:caps/>
          <w:color w:val="000000" w:themeColor="text1"/>
          <w:szCs w:val="22"/>
        </w:rPr>
      </w:pPr>
      <w:r w:rsidRPr="00E3618B">
        <w:rPr>
          <w:b/>
          <w:bCs/>
          <w:caps/>
          <w:color w:val="000000" w:themeColor="text1"/>
          <w:szCs w:val="22"/>
        </w:rPr>
        <w:t>Resolution MEPC.XXX(XX)</w:t>
      </w:r>
    </w:p>
    <w:p w14:paraId="02F6BBCF" w14:textId="77777777" w:rsidR="0051485E" w:rsidRPr="00E3618B" w:rsidRDefault="0051485E" w:rsidP="0051485E">
      <w:pPr>
        <w:jc w:val="center"/>
        <w:rPr>
          <w:b/>
          <w:bCs/>
          <w:color w:val="000000" w:themeColor="text1"/>
          <w:szCs w:val="22"/>
        </w:rPr>
      </w:pPr>
      <w:r w:rsidRPr="00E3618B">
        <w:rPr>
          <w:b/>
          <w:bCs/>
          <w:caps/>
          <w:color w:val="000000" w:themeColor="text1"/>
          <w:szCs w:val="22"/>
        </w:rPr>
        <w:t>(</w:t>
      </w:r>
      <w:r w:rsidRPr="00E3618B">
        <w:rPr>
          <w:b/>
          <w:bCs/>
          <w:color w:val="000000" w:themeColor="text1"/>
          <w:szCs w:val="22"/>
        </w:rPr>
        <w:t>Adopted on [same date as adoption of draft amendments for IMO Net Zero Framework)</w:t>
      </w:r>
    </w:p>
    <w:p w14:paraId="4E8F9578" w14:textId="77777777" w:rsidR="0051485E" w:rsidRPr="00E3618B" w:rsidRDefault="0051485E" w:rsidP="0051485E">
      <w:pPr>
        <w:jc w:val="center"/>
        <w:rPr>
          <w:color w:val="000000" w:themeColor="text1"/>
          <w:szCs w:val="22"/>
        </w:rPr>
      </w:pPr>
      <w:r w:rsidRPr="00E3618B">
        <w:rPr>
          <w:color w:val="000000" w:themeColor="text1"/>
          <w:szCs w:val="22"/>
        </w:rPr>
        <w:t>[To be completed….]</w:t>
      </w:r>
    </w:p>
    <w:p w14:paraId="7565E8F2" w14:textId="77777777" w:rsidR="0051485E" w:rsidRPr="00E3618B" w:rsidRDefault="0051485E" w:rsidP="0051485E">
      <w:pPr>
        <w:jc w:val="center"/>
        <w:rPr>
          <w:color w:val="000000" w:themeColor="text1"/>
          <w:szCs w:val="22"/>
        </w:rPr>
      </w:pPr>
    </w:p>
    <w:p w14:paraId="61A68047" w14:textId="77777777" w:rsidR="0051485E" w:rsidRPr="00E3618B" w:rsidRDefault="0051485E" w:rsidP="0051485E">
      <w:pPr>
        <w:jc w:val="center"/>
        <w:rPr>
          <w:b/>
          <w:bCs/>
          <w:caps/>
          <w:color w:val="000000" w:themeColor="text1"/>
          <w:szCs w:val="22"/>
        </w:rPr>
      </w:pPr>
      <w:r w:rsidRPr="00E3618B">
        <w:rPr>
          <w:b/>
          <w:bCs/>
          <w:caps/>
          <w:color w:val="000000" w:themeColor="text1"/>
          <w:szCs w:val="22"/>
        </w:rPr>
        <w:t>ANNEX</w:t>
      </w:r>
    </w:p>
    <w:p w14:paraId="4B940114" w14:textId="77777777" w:rsidR="0051485E" w:rsidRPr="00E3618B" w:rsidRDefault="0051485E" w:rsidP="0051485E">
      <w:pPr>
        <w:jc w:val="center"/>
        <w:rPr>
          <w:b/>
          <w:bCs/>
          <w:caps/>
          <w:color w:val="000000" w:themeColor="text1"/>
          <w:szCs w:val="22"/>
        </w:rPr>
      </w:pPr>
    </w:p>
    <w:p w14:paraId="07FA3B94" w14:textId="20CB9885" w:rsidR="0051485E" w:rsidRPr="00E3618B" w:rsidRDefault="0051485E" w:rsidP="0051485E">
      <w:pPr>
        <w:jc w:val="center"/>
        <w:rPr>
          <w:b/>
          <w:bCs/>
          <w:caps/>
          <w:color w:val="000000" w:themeColor="text1"/>
          <w:szCs w:val="22"/>
        </w:rPr>
      </w:pPr>
      <w:r w:rsidRPr="00E3618B">
        <w:rPr>
          <w:b/>
          <w:bCs/>
          <w:caps/>
          <w:color w:val="000000" w:themeColor="text1"/>
          <w:szCs w:val="22"/>
        </w:rPr>
        <w:t xml:space="preserve">[2025] guidelines for determining GHG fees </w:t>
      </w:r>
      <w:r>
        <w:rPr>
          <w:b/>
          <w:bCs/>
          <w:caps/>
          <w:color w:val="000000" w:themeColor="text1"/>
          <w:szCs w:val="22"/>
        </w:rPr>
        <w:t>and FEEBATES UNDER</w:t>
      </w:r>
      <w:r w:rsidRPr="00E3618B">
        <w:rPr>
          <w:b/>
          <w:bCs/>
          <w:caps/>
          <w:color w:val="000000" w:themeColor="text1"/>
          <w:szCs w:val="22"/>
        </w:rPr>
        <w:t xml:space="preserve"> THE </w:t>
      </w:r>
      <w:r w:rsidRPr="00E3618B">
        <w:rPr>
          <w:b/>
          <w:bCs/>
          <w:caps/>
          <w:color w:val="000000" w:themeColor="text1"/>
          <w:szCs w:val="22"/>
        </w:rPr>
        <w:br/>
        <w:t xml:space="preserve">Maritime GHG emissions pricing mechanism </w:t>
      </w:r>
    </w:p>
    <w:p w14:paraId="25CC520B" w14:textId="77777777" w:rsidR="0051485E" w:rsidRPr="00E3618B" w:rsidRDefault="0051485E" w:rsidP="0051485E">
      <w:pPr>
        <w:jc w:val="center"/>
        <w:rPr>
          <w:b/>
          <w:bCs/>
          <w:caps/>
          <w:color w:val="000000" w:themeColor="text1"/>
          <w:szCs w:val="22"/>
        </w:rPr>
      </w:pPr>
    </w:p>
    <w:p w14:paraId="2A742918" w14:textId="77777777" w:rsidR="0051485E" w:rsidRDefault="0051485E" w:rsidP="0051485E">
      <w:pPr>
        <w:rPr>
          <w:b/>
          <w:bCs/>
          <w:i/>
          <w:iCs/>
          <w:color w:val="000000" w:themeColor="text1"/>
          <w:szCs w:val="22"/>
        </w:rPr>
      </w:pPr>
      <w:r>
        <w:rPr>
          <w:b/>
          <w:bCs/>
          <w:i/>
          <w:iCs/>
          <w:color w:val="000000" w:themeColor="text1"/>
          <w:szCs w:val="22"/>
        </w:rPr>
        <w:t xml:space="preserve">[NB: </w:t>
      </w:r>
      <w:r w:rsidRPr="00647210">
        <w:rPr>
          <w:b/>
          <w:bCs/>
          <w:i/>
          <w:iCs/>
          <w:color w:val="000000" w:themeColor="text1"/>
          <w:szCs w:val="22"/>
        </w:rPr>
        <w:t xml:space="preserve">The co-sponsors are fuel/technology neutral with respect to the types of zero/near-zero GHG fuels, energy sources and technologies, including carbon capture, to be incentivized by GHG fees in combination with feebates (rewards).  </w:t>
      </w:r>
    </w:p>
    <w:p w14:paraId="455940EE" w14:textId="77777777" w:rsidR="0051485E" w:rsidRDefault="0051485E" w:rsidP="0051485E">
      <w:pPr>
        <w:rPr>
          <w:b/>
          <w:bCs/>
          <w:i/>
          <w:iCs/>
          <w:color w:val="000000" w:themeColor="text1"/>
          <w:szCs w:val="22"/>
        </w:rPr>
      </w:pPr>
    </w:p>
    <w:p w14:paraId="0C1CC1AE" w14:textId="77777777" w:rsidR="0051485E" w:rsidRDefault="0051485E" w:rsidP="0051485E">
      <w:pPr>
        <w:rPr>
          <w:b/>
          <w:bCs/>
          <w:i/>
          <w:iCs/>
          <w:color w:val="000000" w:themeColor="text1"/>
          <w:szCs w:val="22"/>
        </w:rPr>
      </w:pPr>
      <w:r w:rsidRPr="00647210">
        <w:rPr>
          <w:b/>
          <w:bCs/>
          <w:i/>
          <w:iCs/>
          <w:color w:val="000000" w:themeColor="text1"/>
          <w:szCs w:val="22"/>
        </w:rPr>
        <w:t xml:space="preserve">While the </w:t>
      </w:r>
      <w:r>
        <w:rPr>
          <w:b/>
          <w:bCs/>
          <w:i/>
          <w:iCs/>
          <w:color w:val="000000" w:themeColor="text1"/>
          <w:szCs w:val="22"/>
        </w:rPr>
        <w:t xml:space="preserve">proposed </w:t>
      </w:r>
      <w:r w:rsidRPr="00647210">
        <w:rPr>
          <w:b/>
          <w:bCs/>
          <w:i/>
          <w:iCs/>
          <w:color w:val="000000" w:themeColor="text1"/>
          <w:szCs w:val="22"/>
        </w:rPr>
        <w:t>regulations specify the G</w:t>
      </w:r>
      <w:r>
        <w:rPr>
          <w:b/>
          <w:bCs/>
          <w:i/>
          <w:iCs/>
          <w:color w:val="000000" w:themeColor="text1"/>
          <w:szCs w:val="22"/>
        </w:rPr>
        <w:t>HG</w:t>
      </w:r>
      <w:r w:rsidRPr="00647210">
        <w:rPr>
          <w:b/>
          <w:bCs/>
          <w:i/>
          <w:iCs/>
          <w:color w:val="000000" w:themeColor="text1"/>
          <w:szCs w:val="22"/>
        </w:rPr>
        <w:t xml:space="preserve"> fee </w:t>
      </w:r>
      <w:r w:rsidRPr="00647210">
        <w:rPr>
          <w:b/>
          <w:bCs/>
          <w:i/>
          <w:iCs/>
          <w:color w:val="000000" w:themeColor="text1"/>
          <w:szCs w:val="22"/>
          <w:u w:val="single"/>
        </w:rPr>
        <w:t>per tonne of CO</w:t>
      </w:r>
      <w:r w:rsidRPr="00647210">
        <w:rPr>
          <w:b/>
          <w:bCs/>
          <w:i/>
          <w:iCs/>
          <w:color w:val="000000" w:themeColor="text1"/>
          <w:szCs w:val="22"/>
          <w:u w:val="single"/>
          <w:vertAlign w:val="subscript"/>
        </w:rPr>
        <w:t>2</w:t>
      </w:r>
      <w:r w:rsidRPr="00647210">
        <w:rPr>
          <w:b/>
          <w:bCs/>
          <w:i/>
          <w:iCs/>
          <w:color w:val="000000" w:themeColor="text1"/>
          <w:szCs w:val="22"/>
          <w:u w:val="single"/>
        </w:rPr>
        <w:t>e emitted</w:t>
      </w:r>
      <w:r w:rsidRPr="00647210">
        <w:rPr>
          <w:b/>
          <w:bCs/>
          <w:i/>
          <w:iCs/>
          <w:color w:val="000000" w:themeColor="text1"/>
          <w:szCs w:val="22"/>
        </w:rPr>
        <w:t xml:space="preserve">, and the reward rate </w:t>
      </w:r>
      <w:r w:rsidRPr="00647210">
        <w:rPr>
          <w:b/>
          <w:bCs/>
          <w:i/>
          <w:iCs/>
          <w:color w:val="000000" w:themeColor="text1"/>
          <w:szCs w:val="22"/>
          <w:u w:val="single"/>
        </w:rPr>
        <w:t>per tonne of CO</w:t>
      </w:r>
      <w:r w:rsidRPr="00647210">
        <w:rPr>
          <w:b/>
          <w:bCs/>
          <w:i/>
          <w:iCs/>
          <w:color w:val="000000" w:themeColor="text1"/>
          <w:szCs w:val="22"/>
          <w:u w:val="single"/>
          <w:vertAlign w:val="subscript"/>
        </w:rPr>
        <w:t>2</w:t>
      </w:r>
      <w:r w:rsidRPr="00647210">
        <w:rPr>
          <w:b/>
          <w:bCs/>
          <w:i/>
          <w:iCs/>
          <w:color w:val="000000" w:themeColor="text1"/>
          <w:szCs w:val="22"/>
          <w:u w:val="single"/>
        </w:rPr>
        <w:t>e prevented</w:t>
      </w:r>
      <w:r w:rsidRPr="00647210">
        <w:rPr>
          <w:b/>
          <w:bCs/>
          <w:i/>
          <w:iCs/>
          <w:color w:val="000000" w:themeColor="text1"/>
          <w:szCs w:val="22"/>
        </w:rPr>
        <w:t xml:space="preserve"> by the use of eligible zero/near-zero GHG fuels, energy sources and technologies, the GHG fee and the feebate </w:t>
      </w:r>
      <w:r w:rsidRPr="00647210">
        <w:rPr>
          <w:b/>
          <w:bCs/>
          <w:i/>
          <w:iCs/>
          <w:color w:val="000000" w:themeColor="text1"/>
          <w:szCs w:val="22"/>
          <w:u w:val="single"/>
        </w:rPr>
        <w:t>per tonne of fuel consumed</w:t>
      </w:r>
      <w:r w:rsidRPr="00647210">
        <w:rPr>
          <w:b/>
          <w:bCs/>
          <w:i/>
          <w:iCs/>
          <w:color w:val="000000" w:themeColor="text1"/>
          <w:szCs w:val="22"/>
        </w:rPr>
        <w:t xml:space="preserve"> will be subject to</w:t>
      </w:r>
      <w:r>
        <w:rPr>
          <w:b/>
          <w:bCs/>
          <w:i/>
          <w:iCs/>
          <w:color w:val="000000" w:themeColor="text1"/>
          <w:szCs w:val="22"/>
        </w:rPr>
        <w:t xml:space="preserve"> the </w:t>
      </w:r>
      <w:r w:rsidRPr="00647210">
        <w:rPr>
          <w:b/>
          <w:bCs/>
          <w:i/>
          <w:iCs/>
          <w:color w:val="000000" w:themeColor="text1"/>
          <w:szCs w:val="22"/>
        </w:rPr>
        <w:t>CO</w:t>
      </w:r>
      <w:r w:rsidRPr="00647210">
        <w:rPr>
          <w:b/>
          <w:bCs/>
          <w:i/>
          <w:iCs/>
          <w:color w:val="000000" w:themeColor="text1"/>
          <w:szCs w:val="22"/>
          <w:vertAlign w:val="subscript"/>
        </w:rPr>
        <w:t>2</w:t>
      </w:r>
      <w:r w:rsidRPr="00647210">
        <w:rPr>
          <w:b/>
          <w:bCs/>
          <w:i/>
          <w:iCs/>
          <w:color w:val="000000" w:themeColor="text1"/>
          <w:szCs w:val="22"/>
        </w:rPr>
        <w:t xml:space="preserve">e conversion factors as determined by the LCA Guidelines. </w:t>
      </w:r>
    </w:p>
    <w:p w14:paraId="463EF42C" w14:textId="77777777" w:rsidR="0051485E" w:rsidRDefault="0051485E" w:rsidP="0051485E">
      <w:pPr>
        <w:rPr>
          <w:b/>
          <w:bCs/>
          <w:i/>
          <w:iCs/>
          <w:color w:val="000000" w:themeColor="text1"/>
          <w:szCs w:val="22"/>
        </w:rPr>
      </w:pPr>
    </w:p>
    <w:p w14:paraId="782A0C28" w14:textId="77777777" w:rsidR="0051485E" w:rsidRPr="00647210" w:rsidRDefault="0051485E" w:rsidP="0051485E">
      <w:pPr>
        <w:rPr>
          <w:b/>
          <w:bCs/>
          <w:i/>
          <w:iCs/>
          <w:color w:val="000000" w:themeColor="text1"/>
          <w:szCs w:val="22"/>
        </w:rPr>
      </w:pPr>
      <w:r w:rsidRPr="00647210">
        <w:rPr>
          <w:b/>
          <w:bCs/>
          <w:i/>
          <w:iCs/>
          <w:color w:val="000000" w:themeColor="text1"/>
          <w:szCs w:val="22"/>
        </w:rPr>
        <w:t xml:space="preserve">The list of fuel types, set out below for illustrative purposes only, will need to be </w:t>
      </w:r>
      <w:r>
        <w:rPr>
          <w:b/>
          <w:bCs/>
          <w:i/>
          <w:iCs/>
          <w:color w:val="000000" w:themeColor="text1"/>
          <w:szCs w:val="22"/>
        </w:rPr>
        <w:t xml:space="preserve">adjusted/expanded </w:t>
      </w:r>
      <w:r w:rsidRPr="00647210">
        <w:rPr>
          <w:b/>
          <w:bCs/>
          <w:i/>
          <w:iCs/>
          <w:color w:val="000000" w:themeColor="text1"/>
          <w:szCs w:val="22"/>
        </w:rPr>
        <w:t>to reflect the exact description</w:t>
      </w:r>
      <w:r>
        <w:rPr>
          <w:b/>
          <w:bCs/>
          <w:i/>
          <w:iCs/>
          <w:color w:val="000000" w:themeColor="text1"/>
          <w:szCs w:val="22"/>
        </w:rPr>
        <w:t>s</w:t>
      </w:r>
      <w:r w:rsidRPr="00647210">
        <w:rPr>
          <w:b/>
          <w:bCs/>
          <w:i/>
          <w:iCs/>
          <w:color w:val="000000" w:themeColor="text1"/>
          <w:szCs w:val="22"/>
        </w:rPr>
        <w:t xml:space="preserve"> in the LCA Guidelines, including variants such as synthetic fuels and different types of biofuels.</w:t>
      </w:r>
    </w:p>
    <w:p w14:paraId="00214203" w14:textId="77777777" w:rsidR="0051485E" w:rsidRPr="00647210" w:rsidRDefault="0051485E" w:rsidP="0051485E">
      <w:pPr>
        <w:rPr>
          <w:b/>
          <w:bCs/>
          <w:i/>
          <w:iCs/>
          <w:color w:val="000000" w:themeColor="text1"/>
          <w:szCs w:val="22"/>
        </w:rPr>
      </w:pPr>
    </w:p>
    <w:p w14:paraId="16EE1AB9" w14:textId="77777777" w:rsidR="0051485E" w:rsidRPr="00647210" w:rsidRDefault="0051485E" w:rsidP="0051485E">
      <w:pPr>
        <w:rPr>
          <w:b/>
          <w:bCs/>
          <w:i/>
          <w:iCs/>
          <w:color w:val="000000" w:themeColor="text1"/>
          <w:szCs w:val="22"/>
        </w:rPr>
      </w:pPr>
      <w:r w:rsidRPr="00647210">
        <w:rPr>
          <w:b/>
          <w:bCs/>
          <w:i/>
          <w:iCs/>
          <w:color w:val="000000" w:themeColor="text1"/>
          <w:szCs w:val="22"/>
        </w:rPr>
        <w:t xml:space="preserve">Proposed regulations 40.4 and 41.1 are not explicit as to whether GHG fees and feebates should be determined on a </w:t>
      </w:r>
      <w:r>
        <w:rPr>
          <w:b/>
          <w:bCs/>
          <w:i/>
          <w:iCs/>
          <w:color w:val="000000" w:themeColor="text1"/>
          <w:szCs w:val="22"/>
        </w:rPr>
        <w:t>lifecycle (</w:t>
      </w:r>
      <w:r w:rsidRPr="00647210">
        <w:rPr>
          <w:b/>
          <w:bCs/>
          <w:i/>
          <w:iCs/>
          <w:color w:val="000000" w:themeColor="text1"/>
          <w:szCs w:val="22"/>
        </w:rPr>
        <w:t>WTW</w:t>
      </w:r>
      <w:r>
        <w:rPr>
          <w:b/>
          <w:bCs/>
          <w:i/>
          <w:iCs/>
          <w:color w:val="000000" w:themeColor="text1"/>
          <w:szCs w:val="22"/>
        </w:rPr>
        <w:t>)</w:t>
      </w:r>
      <w:r w:rsidRPr="00647210">
        <w:rPr>
          <w:b/>
          <w:bCs/>
          <w:i/>
          <w:iCs/>
          <w:color w:val="000000" w:themeColor="text1"/>
          <w:szCs w:val="22"/>
        </w:rPr>
        <w:t xml:space="preserve"> basis. However, to accommodate objections to ships being charged for emissions which are the responsibility of other sectors, it is envisaged that GHG fees for most fuel types will be based on TTW conversion factors whilst feebates (rewards) for the use of eligible zero/near-zero GHG fuels will be based on WTW conversion factors. However, if the WTW emissions of any fuel type are lower than the </w:t>
      </w:r>
      <w:r>
        <w:rPr>
          <w:b/>
          <w:bCs/>
          <w:i/>
          <w:iCs/>
          <w:color w:val="000000" w:themeColor="text1"/>
          <w:szCs w:val="22"/>
        </w:rPr>
        <w:t xml:space="preserve">TTW emissions </w:t>
      </w:r>
      <w:r w:rsidRPr="00647210">
        <w:rPr>
          <w:b/>
          <w:bCs/>
          <w:i/>
          <w:iCs/>
          <w:color w:val="000000" w:themeColor="text1"/>
          <w:szCs w:val="22"/>
        </w:rPr>
        <w:t xml:space="preserve">then the GHG fees will be calculated on a WTW basis, whilst GHG fees for </w:t>
      </w:r>
      <w:r>
        <w:rPr>
          <w:b/>
          <w:bCs/>
          <w:i/>
          <w:iCs/>
          <w:color w:val="000000" w:themeColor="text1"/>
          <w:szCs w:val="22"/>
        </w:rPr>
        <w:t xml:space="preserve">zero GHG </w:t>
      </w:r>
      <w:r w:rsidRPr="00647210">
        <w:rPr>
          <w:b/>
          <w:bCs/>
          <w:i/>
          <w:iCs/>
          <w:color w:val="000000" w:themeColor="text1"/>
          <w:szCs w:val="22"/>
        </w:rPr>
        <w:t>fuels will be zero.</w:t>
      </w:r>
    </w:p>
    <w:p w14:paraId="4783F670" w14:textId="77777777" w:rsidR="0051485E" w:rsidRPr="00647210" w:rsidRDefault="0051485E" w:rsidP="0051485E">
      <w:pPr>
        <w:rPr>
          <w:b/>
          <w:bCs/>
          <w:i/>
          <w:iCs/>
          <w:color w:val="000000" w:themeColor="text1"/>
          <w:szCs w:val="22"/>
        </w:rPr>
      </w:pPr>
    </w:p>
    <w:p w14:paraId="2C91F69E" w14:textId="77777777" w:rsidR="0051485E" w:rsidRPr="00647210" w:rsidRDefault="0051485E" w:rsidP="0051485E">
      <w:pPr>
        <w:rPr>
          <w:b/>
          <w:bCs/>
          <w:i/>
          <w:iCs/>
          <w:color w:val="000000" w:themeColor="text1"/>
          <w:szCs w:val="22"/>
        </w:rPr>
      </w:pPr>
      <w:r w:rsidRPr="00647210">
        <w:rPr>
          <w:b/>
          <w:bCs/>
          <w:i/>
          <w:iCs/>
          <w:color w:val="000000" w:themeColor="text1"/>
          <w:szCs w:val="22"/>
        </w:rPr>
        <w:t xml:space="preserve">The GHG fee shown for ‘Liquid Fuel Oil is derived from the conversion factor </w:t>
      </w:r>
      <w:r>
        <w:rPr>
          <w:b/>
          <w:bCs/>
          <w:i/>
          <w:iCs/>
          <w:color w:val="000000" w:themeColor="text1"/>
          <w:szCs w:val="22"/>
        </w:rPr>
        <w:t xml:space="preserve">currently </w:t>
      </w:r>
      <w:r w:rsidRPr="00647210">
        <w:rPr>
          <w:b/>
          <w:bCs/>
          <w:i/>
          <w:iCs/>
          <w:color w:val="000000" w:themeColor="text1"/>
          <w:szCs w:val="22"/>
        </w:rPr>
        <w:t xml:space="preserve">used in EEDI Guidelines </w:t>
      </w:r>
      <w:r>
        <w:rPr>
          <w:b/>
          <w:bCs/>
          <w:i/>
          <w:iCs/>
          <w:color w:val="000000" w:themeColor="text1"/>
          <w:szCs w:val="22"/>
        </w:rPr>
        <w:t>for ‘D</w:t>
      </w:r>
      <w:r w:rsidRPr="00647210">
        <w:rPr>
          <w:b/>
          <w:bCs/>
          <w:i/>
          <w:iCs/>
          <w:color w:val="000000" w:themeColor="text1"/>
          <w:szCs w:val="22"/>
        </w:rPr>
        <w:t>iesel/</w:t>
      </w:r>
      <w:r>
        <w:rPr>
          <w:b/>
          <w:bCs/>
          <w:i/>
          <w:iCs/>
          <w:color w:val="000000" w:themeColor="text1"/>
          <w:szCs w:val="22"/>
        </w:rPr>
        <w:t>G</w:t>
      </w:r>
      <w:r w:rsidRPr="00647210">
        <w:rPr>
          <w:b/>
          <w:bCs/>
          <w:i/>
          <w:iCs/>
          <w:color w:val="000000" w:themeColor="text1"/>
          <w:szCs w:val="22"/>
        </w:rPr>
        <w:t xml:space="preserve">as </w:t>
      </w:r>
      <w:r>
        <w:rPr>
          <w:b/>
          <w:bCs/>
          <w:i/>
          <w:iCs/>
          <w:color w:val="000000" w:themeColor="text1"/>
          <w:szCs w:val="22"/>
        </w:rPr>
        <w:t>O</w:t>
      </w:r>
      <w:r w:rsidRPr="00647210">
        <w:rPr>
          <w:b/>
          <w:bCs/>
          <w:i/>
          <w:iCs/>
          <w:color w:val="000000" w:themeColor="text1"/>
          <w:szCs w:val="22"/>
        </w:rPr>
        <w:t>i</w:t>
      </w:r>
      <w:r>
        <w:rPr>
          <w:b/>
          <w:bCs/>
          <w:i/>
          <w:iCs/>
          <w:color w:val="000000" w:themeColor="text1"/>
          <w:szCs w:val="22"/>
        </w:rPr>
        <w:t>l’</w:t>
      </w:r>
      <w:r w:rsidRPr="00647210">
        <w:rPr>
          <w:b/>
          <w:bCs/>
          <w:i/>
          <w:iCs/>
          <w:color w:val="000000" w:themeColor="text1"/>
          <w:szCs w:val="22"/>
        </w:rPr>
        <w:t xml:space="preserve"> and is for illustrative purposes only.  The GHG fee</w:t>
      </w:r>
      <w:r>
        <w:rPr>
          <w:b/>
          <w:bCs/>
          <w:i/>
          <w:iCs/>
          <w:color w:val="000000" w:themeColor="text1"/>
          <w:szCs w:val="22"/>
        </w:rPr>
        <w:t>s</w:t>
      </w:r>
      <w:r w:rsidRPr="00647210">
        <w:rPr>
          <w:b/>
          <w:bCs/>
          <w:i/>
          <w:iCs/>
          <w:color w:val="000000" w:themeColor="text1"/>
          <w:szCs w:val="22"/>
        </w:rPr>
        <w:t xml:space="preserve"> for other fuel types will </w:t>
      </w:r>
      <w:r>
        <w:rPr>
          <w:b/>
          <w:bCs/>
          <w:i/>
          <w:iCs/>
          <w:color w:val="000000" w:themeColor="text1"/>
          <w:szCs w:val="22"/>
        </w:rPr>
        <w:t xml:space="preserve">take </w:t>
      </w:r>
      <w:r w:rsidRPr="00647210">
        <w:rPr>
          <w:b/>
          <w:bCs/>
          <w:i/>
          <w:iCs/>
          <w:color w:val="000000" w:themeColor="text1"/>
          <w:szCs w:val="22"/>
        </w:rPr>
        <w:t xml:space="preserve">account of the energy density ratio of these fuels compared to </w:t>
      </w:r>
      <w:r>
        <w:rPr>
          <w:b/>
          <w:bCs/>
          <w:i/>
          <w:iCs/>
          <w:color w:val="000000" w:themeColor="text1"/>
          <w:szCs w:val="22"/>
        </w:rPr>
        <w:t>D</w:t>
      </w:r>
      <w:r w:rsidRPr="00647210">
        <w:rPr>
          <w:b/>
          <w:bCs/>
          <w:i/>
          <w:iCs/>
          <w:color w:val="000000" w:themeColor="text1"/>
          <w:szCs w:val="22"/>
        </w:rPr>
        <w:t>iesel/</w:t>
      </w:r>
      <w:r>
        <w:rPr>
          <w:b/>
          <w:bCs/>
          <w:i/>
          <w:iCs/>
          <w:color w:val="000000" w:themeColor="text1"/>
          <w:szCs w:val="22"/>
        </w:rPr>
        <w:t>G</w:t>
      </w:r>
      <w:r w:rsidRPr="00647210">
        <w:rPr>
          <w:b/>
          <w:bCs/>
          <w:i/>
          <w:iCs/>
          <w:color w:val="000000" w:themeColor="text1"/>
          <w:szCs w:val="22"/>
        </w:rPr>
        <w:t xml:space="preserve">as </w:t>
      </w:r>
      <w:r>
        <w:rPr>
          <w:b/>
          <w:bCs/>
          <w:i/>
          <w:iCs/>
          <w:color w:val="000000" w:themeColor="text1"/>
          <w:szCs w:val="22"/>
        </w:rPr>
        <w:t>O</w:t>
      </w:r>
      <w:r w:rsidRPr="00647210">
        <w:rPr>
          <w:b/>
          <w:bCs/>
          <w:i/>
          <w:iCs/>
          <w:color w:val="000000" w:themeColor="text1"/>
          <w:szCs w:val="22"/>
        </w:rPr>
        <w:t>i</w:t>
      </w:r>
      <w:r>
        <w:rPr>
          <w:b/>
          <w:bCs/>
          <w:i/>
          <w:iCs/>
          <w:color w:val="000000" w:themeColor="text1"/>
          <w:szCs w:val="22"/>
        </w:rPr>
        <w:t>l’</w:t>
      </w:r>
      <w:r w:rsidRPr="00647210">
        <w:rPr>
          <w:b/>
          <w:bCs/>
          <w:i/>
          <w:iCs/>
          <w:color w:val="000000" w:themeColor="text1"/>
          <w:szCs w:val="22"/>
        </w:rPr>
        <w:t>.</w:t>
      </w:r>
      <w:r>
        <w:rPr>
          <w:b/>
          <w:bCs/>
          <w:i/>
          <w:iCs/>
          <w:color w:val="000000" w:themeColor="text1"/>
          <w:szCs w:val="22"/>
        </w:rPr>
        <w:t>]</w:t>
      </w:r>
      <w:r w:rsidRPr="00647210">
        <w:rPr>
          <w:b/>
          <w:bCs/>
          <w:i/>
          <w:iCs/>
          <w:color w:val="000000" w:themeColor="text1"/>
          <w:szCs w:val="22"/>
        </w:rPr>
        <w:t xml:space="preserve">  </w:t>
      </w:r>
    </w:p>
    <w:p w14:paraId="76AEE5D5" w14:textId="77777777" w:rsidR="0051485E" w:rsidRPr="00E3618B" w:rsidRDefault="0051485E" w:rsidP="0051485E">
      <w:pPr>
        <w:rPr>
          <w:b/>
          <w:bCs/>
          <w:color w:val="000000" w:themeColor="text1"/>
          <w:szCs w:val="22"/>
        </w:rPr>
      </w:pPr>
    </w:p>
    <w:p w14:paraId="2EB425CC" w14:textId="77777777" w:rsidR="0051485E" w:rsidRPr="00E3618B" w:rsidRDefault="0051485E" w:rsidP="0051485E">
      <w:pPr>
        <w:rPr>
          <w:b/>
          <w:bCs/>
          <w:i/>
          <w:iCs/>
          <w:color w:val="000000" w:themeColor="text1"/>
          <w:szCs w:val="22"/>
          <w:lang w:eastAsia="ja-JP"/>
        </w:rPr>
      </w:pPr>
      <w:r>
        <w:rPr>
          <w:b/>
          <w:bCs/>
          <w:i/>
          <w:iCs/>
          <w:color w:val="000000" w:themeColor="text1"/>
          <w:szCs w:val="22"/>
          <w:lang w:eastAsia="ja-JP"/>
        </w:rPr>
        <w:t xml:space="preserve">Equivalent rate and value of </w:t>
      </w:r>
      <w:r w:rsidRPr="00E3618B">
        <w:rPr>
          <w:b/>
          <w:bCs/>
          <w:i/>
          <w:iCs/>
          <w:color w:val="000000" w:themeColor="text1"/>
          <w:szCs w:val="22"/>
          <w:lang w:eastAsia="ja-JP"/>
        </w:rPr>
        <w:t>GHG fee</w:t>
      </w:r>
      <w:r>
        <w:rPr>
          <w:b/>
          <w:bCs/>
          <w:i/>
          <w:iCs/>
          <w:color w:val="000000" w:themeColor="text1"/>
          <w:szCs w:val="22"/>
          <w:lang w:eastAsia="ja-JP"/>
        </w:rPr>
        <w:t xml:space="preserve"> for different fuel types</w:t>
      </w:r>
    </w:p>
    <w:p w14:paraId="501AE20B" w14:textId="77777777" w:rsidR="0051485E" w:rsidRPr="00E3618B" w:rsidRDefault="0051485E" w:rsidP="0051485E">
      <w:pPr>
        <w:rPr>
          <w:b/>
          <w:bCs/>
          <w:color w:val="000000" w:themeColor="text1"/>
          <w:szCs w:val="22"/>
        </w:rPr>
      </w:pPr>
    </w:p>
    <w:p w14:paraId="325E9F28" w14:textId="77777777" w:rsidR="0051485E" w:rsidRPr="00E3618B" w:rsidRDefault="0051485E" w:rsidP="0051485E">
      <w:pPr>
        <w:rPr>
          <w:color w:val="000000" w:themeColor="text1"/>
          <w:szCs w:val="22"/>
        </w:rPr>
      </w:pPr>
      <w:r w:rsidRPr="00E3618B">
        <w:rPr>
          <w:color w:val="000000" w:themeColor="text1"/>
          <w:szCs w:val="22"/>
        </w:rPr>
        <w:t>1</w:t>
      </w:r>
      <w:r w:rsidRPr="00E3618B">
        <w:rPr>
          <w:color w:val="000000" w:themeColor="text1"/>
          <w:szCs w:val="22"/>
        </w:rPr>
        <w:tab/>
        <w:t xml:space="preserve">Pursuant to regulation </w:t>
      </w:r>
      <w:r>
        <w:rPr>
          <w:color w:val="000000" w:themeColor="text1"/>
          <w:szCs w:val="22"/>
        </w:rPr>
        <w:t>40</w:t>
      </w:r>
      <w:r w:rsidRPr="00E3618B">
        <w:rPr>
          <w:color w:val="000000" w:themeColor="text1"/>
          <w:szCs w:val="22"/>
        </w:rPr>
        <w:t>.</w:t>
      </w:r>
      <w:r>
        <w:rPr>
          <w:color w:val="000000" w:themeColor="text1"/>
          <w:szCs w:val="22"/>
        </w:rPr>
        <w:t>4</w:t>
      </w:r>
      <w:r w:rsidRPr="00E3618B">
        <w:rPr>
          <w:color w:val="000000" w:themeColor="text1"/>
          <w:szCs w:val="22"/>
        </w:rPr>
        <w:t xml:space="preserve"> of MARPOL Annex VI, </w:t>
      </w:r>
      <w:r>
        <w:rPr>
          <w:color w:val="000000" w:themeColor="text1"/>
          <w:szCs w:val="22"/>
        </w:rPr>
        <w:t xml:space="preserve">and taking account of the LCA Guidelines, </w:t>
      </w:r>
      <w:r w:rsidRPr="00E3618B">
        <w:rPr>
          <w:color w:val="000000" w:themeColor="text1"/>
          <w:szCs w:val="22"/>
        </w:rPr>
        <w:t xml:space="preserve">the GHG fee </w:t>
      </w:r>
      <w:r>
        <w:rPr>
          <w:color w:val="000000" w:themeColor="text1"/>
          <w:szCs w:val="22"/>
        </w:rPr>
        <w:t xml:space="preserve">to be </w:t>
      </w:r>
      <w:r w:rsidRPr="00E3618B">
        <w:rPr>
          <w:color w:val="000000" w:themeColor="text1"/>
          <w:szCs w:val="22"/>
        </w:rPr>
        <w:t xml:space="preserve">made for each ship to the Organization via the maritime GHG emissions pricing mechanism </w:t>
      </w:r>
      <w:r>
        <w:rPr>
          <w:color w:val="000000" w:themeColor="text1"/>
          <w:szCs w:val="22"/>
        </w:rPr>
        <w:t>will</w:t>
      </w:r>
      <w:r w:rsidRPr="00E3618B">
        <w:rPr>
          <w:color w:val="000000" w:themeColor="text1"/>
          <w:szCs w:val="22"/>
        </w:rPr>
        <w:t xml:space="preserve"> be calculated as follows:</w:t>
      </w:r>
    </w:p>
    <w:p w14:paraId="730C8F3B" w14:textId="77777777" w:rsidR="0051485E" w:rsidRPr="00E3618B" w:rsidRDefault="0051485E" w:rsidP="0051485E">
      <w:pPr>
        <w:rPr>
          <w:color w:val="000000" w:themeColor="text1"/>
          <w:szCs w:val="22"/>
        </w:rPr>
      </w:pPr>
    </w:p>
    <w:p w14:paraId="43DFB222" w14:textId="57850D0F" w:rsidR="0051485E" w:rsidRPr="00E3618B" w:rsidRDefault="0051485E" w:rsidP="0051485E">
      <w:pPr>
        <w:tabs>
          <w:tab w:val="left" w:pos="3119"/>
        </w:tabs>
        <w:ind w:left="851"/>
        <w:rPr>
          <w:color w:val="000000" w:themeColor="text1"/>
          <w:szCs w:val="22"/>
        </w:rPr>
      </w:pPr>
      <w:r w:rsidRPr="00E3618B">
        <w:rPr>
          <w:b/>
          <w:bCs/>
          <w:color w:val="000000" w:themeColor="text1"/>
          <w:szCs w:val="22"/>
        </w:rPr>
        <w:t>Rate of GHG fee</w:t>
      </w:r>
      <w:r w:rsidRPr="00E3618B">
        <w:rPr>
          <w:color w:val="000000" w:themeColor="text1"/>
          <w:szCs w:val="22"/>
        </w:rPr>
        <w:t xml:space="preserve">: </w:t>
      </w:r>
      <w:r w:rsidRPr="00E3618B">
        <w:rPr>
          <w:b/>
          <w:bCs/>
          <w:color w:val="000000" w:themeColor="text1"/>
          <w:szCs w:val="22"/>
        </w:rPr>
        <w:t>US$[</w:t>
      </w:r>
      <w:r w:rsidR="000E2E71">
        <w:rPr>
          <w:b/>
          <w:bCs/>
          <w:color w:val="000000" w:themeColor="text1"/>
          <w:szCs w:val="22"/>
        </w:rPr>
        <w:t>1</w:t>
      </w:r>
      <w:r w:rsidR="00122340">
        <w:rPr>
          <w:b/>
          <w:bCs/>
          <w:color w:val="000000" w:themeColor="text1"/>
          <w:szCs w:val="22"/>
        </w:rPr>
        <w:t>8</w:t>
      </w:r>
      <w:r w:rsidR="000E2E71">
        <w:rPr>
          <w:b/>
          <w:bCs/>
          <w:color w:val="000000" w:themeColor="text1"/>
          <w:szCs w:val="22"/>
        </w:rPr>
        <w:t>.</w:t>
      </w:r>
      <w:r w:rsidR="00122340">
        <w:rPr>
          <w:b/>
          <w:bCs/>
          <w:color w:val="000000" w:themeColor="text1"/>
          <w:szCs w:val="22"/>
        </w:rPr>
        <w:t>75</w:t>
      </w:r>
      <w:r w:rsidRPr="00E3618B">
        <w:rPr>
          <w:b/>
          <w:bCs/>
          <w:color w:val="000000" w:themeColor="text1"/>
          <w:szCs w:val="22"/>
        </w:rPr>
        <w:t xml:space="preserve">] </w:t>
      </w:r>
      <w:r w:rsidRPr="00917C59">
        <w:rPr>
          <w:b/>
          <w:bCs/>
          <w:color w:val="000000" w:themeColor="text1"/>
          <w:szCs w:val="22"/>
          <w:u w:val="single"/>
        </w:rPr>
        <w:t>per tonne of CO</w:t>
      </w:r>
      <w:r w:rsidRPr="00917C59">
        <w:rPr>
          <w:b/>
          <w:bCs/>
          <w:color w:val="000000" w:themeColor="text1"/>
          <w:szCs w:val="22"/>
          <w:u w:val="single"/>
          <w:vertAlign w:val="subscript"/>
        </w:rPr>
        <w:t>2</w:t>
      </w:r>
      <w:r w:rsidRPr="00917C59">
        <w:rPr>
          <w:b/>
          <w:bCs/>
          <w:color w:val="000000" w:themeColor="text1"/>
          <w:szCs w:val="22"/>
          <w:u w:val="single"/>
        </w:rPr>
        <w:t>e emitted</w:t>
      </w:r>
      <w:r w:rsidRPr="00E3618B">
        <w:rPr>
          <w:b/>
          <w:bCs/>
          <w:color w:val="000000" w:themeColor="text1"/>
          <w:szCs w:val="22"/>
        </w:rPr>
        <w:t xml:space="preserve"> by the ship</w:t>
      </w:r>
    </w:p>
    <w:p w14:paraId="77C1AB2C" w14:textId="77777777" w:rsidR="0051485E" w:rsidRPr="00E3618B" w:rsidRDefault="0051485E" w:rsidP="0051485E">
      <w:pPr>
        <w:tabs>
          <w:tab w:val="left" w:pos="3119"/>
        </w:tabs>
        <w:ind w:left="851" w:hanging="3119"/>
        <w:rPr>
          <w:color w:val="000000" w:themeColor="text1"/>
          <w:szCs w:val="22"/>
        </w:rPr>
      </w:pPr>
    </w:p>
    <w:p w14:paraId="5BD0BB9B" w14:textId="2652EF5D" w:rsidR="0051485E" w:rsidRDefault="0051485E" w:rsidP="0051485E">
      <w:pPr>
        <w:ind w:left="851"/>
        <w:rPr>
          <w:color w:val="000000" w:themeColor="text1"/>
          <w:szCs w:val="22"/>
          <w:lang w:eastAsia="ja-JP"/>
        </w:rPr>
      </w:pPr>
      <w:r w:rsidRPr="00E3618B">
        <w:rPr>
          <w:color w:val="000000" w:themeColor="text1"/>
          <w:szCs w:val="22"/>
          <w:u w:val="single"/>
        </w:rPr>
        <w:t>For Liquid Fuel Oil</w:t>
      </w:r>
      <w:r w:rsidRPr="00E3618B">
        <w:rPr>
          <w:color w:val="000000" w:themeColor="text1"/>
          <w:szCs w:val="22"/>
        </w:rPr>
        <w:t xml:space="preserve"> including Diesel/Gas Oil, Light Fuel Oil (LFO) and Heavy Fuel Oil (HFO):</w:t>
      </w:r>
      <w:r w:rsidRPr="00E3618B">
        <w:rPr>
          <w:rStyle w:val="FootnoteReference"/>
          <w:color w:val="000000" w:themeColor="text1"/>
          <w:szCs w:val="22"/>
        </w:rPr>
        <w:footnoteReference w:id="30"/>
      </w:r>
      <w:r w:rsidRPr="00E3618B">
        <w:rPr>
          <w:color w:val="000000" w:themeColor="text1"/>
          <w:szCs w:val="22"/>
        </w:rPr>
        <w:t xml:space="preserve"> equivalent to US$[</w:t>
      </w:r>
      <w:r w:rsidR="000E2E71">
        <w:rPr>
          <w:color w:val="000000" w:themeColor="text1"/>
          <w:szCs w:val="22"/>
        </w:rPr>
        <w:t>60</w:t>
      </w:r>
      <w:r w:rsidRPr="00E3618B">
        <w:rPr>
          <w:color w:val="000000" w:themeColor="text1"/>
          <w:szCs w:val="22"/>
        </w:rPr>
        <w:t xml:space="preserve">] </w:t>
      </w:r>
      <w:r w:rsidRPr="0052383E">
        <w:rPr>
          <w:color w:val="000000" w:themeColor="text1"/>
          <w:szCs w:val="22"/>
          <w:u w:val="single"/>
        </w:rPr>
        <w:t>per tonne of liquid fuel oil consumed by the ship</w:t>
      </w:r>
      <w:r w:rsidRPr="00E3618B">
        <w:rPr>
          <w:color w:val="000000" w:themeColor="text1"/>
          <w:szCs w:val="22"/>
        </w:rPr>
        <w:t xml:space="preserve"> based </w:t>
      </w:r>
      <w:r w:rsidRPr="00E3618B">
        <w:rPr>
          <w:color w:val="000000" w:themeColor="text1"/>
          <w:szCs w:val="22"/>
        </w:rPr>
        <w:lastRenderedPageBreak/>
        <w:t>on a CO</w:t>
      </w:r>
      <w:r w:rsidRPr="00E3618B">
        <w:rPr>
          <w:color w:val="000000" w:themeColor="text1"/>
          <w:szCs w:val="22"/>
          <w:vertAlign w:val="subscript"/>
        </w:rPr>
        <w:t>2</w:t>
      </w:r>
      <w:r w:rsidRPr="00E3618B">
        <w:rPr>
          <w:color w:val="000000" w:themeColor="text1"/>
          <w:szCs w:val="22"/>
        </w:rPr>
        <w:t xml:space="preserve">e conversion factor of [3.2] and an </w:t>
      </w:r>
      <w:r w:rsidRPr="00E3618B">
        <w:rPr>
          <w:color w:val="000000" w:themeColor="text1"/>
          <w:szCs w:val="22"/>
          <w:lang w:eastAsia="ja-JP"/>
        </w:rPr>
        <w:t>energy density ratio by mass compared to diesel/gas oil of 100 per cent.</w:t>
      </w:r>
    </w:p>
    <w:p w14:paraId="71BA16A0" w14:textId="77777777" w:rsidR="0051485E" w:rsidRPr="00E3618B" w:rsidRDefault="0051485E" w:rsidP="0051485E">
      <w:pPr>
        <w:ind w:left="851"/>
        <w:rPr>
          <w:strike/>
          <w:color w:val="000000" w:themeColor="text1"/>
          <w:szCs w:val="22"/>
          <w:lang w:eastAsia="ja-JP"/>
        </w:rPr>
      </w:pPr>
    </w:p>
    <w:p w14:paraId="0B02F8DB" w14:textId="226D50A9" w:rsidR="0051485E" w:rsidRPr="00691138" w:rsidRDefault="0051485E" w:rsidP="0051485E">
      <w:pPr>
        <w:rPr>
          <w:rFonts w:cs="Arial"/>
          <w:szCs w:val="22"/>
          <w:lang w:val="en-US" w:eastAsia="en-GB"/>
        </w:rPr>
      </w:pPr>
      <w:r w:rsidRPr="00691138">
        <w:rPr>
          <w:rFonts w:cs="Arial"/>
          <w:szCs w:val="22"/>
          <w:lang w:val="en-US"/>
        </w:rPr>
        <w:t>2</w:t>
      </w:r>
      <w:r w:rsidRPr="00691138">
        <w:rPr>
          <w:rFonts w:cs="Arial"/>
          <w:szCs w:val="22"/>
          <w:lang w:val="en-US"/>
        </w:rPr>
        <w:tab/>
        <w:t>For fuel types other than Liquid Fuel Oil</w:t>
      </w:r>
      <w:r w:rsidRPr="002D0DC3">
        <w:rPr>
          <w:rStyle w:val="FootnoteReference"/>
          <w:rFonts w:cs="Arial"/>
          <w:szCs w:val="22"/>
          <w:lang w:val="en-US"/>
        </w:rPr>
        <w:footnoteReference w:id="31"/>
      </w:r>
      <w:r w:rsidRPr="00691138">
        <w:rPr>
          <w:rFonts w:cs="Arial"/>
          <w:szCs w:val="22"/>
          <w:lang w:val="en-US"/>
        </w:rPr>
        <w:t>, the GHG fee will be based on the lower of the Tank to Wake</w:t>
      </w:r>
      <w:r w:rsidR="002D0DC3">
        <w:rPr>
          <w:rFonts w:cs="Arial"/>
          <w:szCs w:val="22"/>
          <w:lang w:val="en-US"/>
        </w:rPr>
        <w:t xml:space="preserve"> (TTW)</w:t>
      </w:r>
      <w:r w:rsidRPr="00691138">
        <w:rPr>
          <w:rFonts w:cs="Arial"/>
          <w:szCs w:val="22"/>
          <w:lang w:val="en-US"/>
        </w:rPr>
        <w:t xml:space="preserve"> </w:t>
      </w:r>
      <w:r w:rsidR="005577C6" w:rsidRPr="00691138">
        <w:rPr>
          <w:rFonts w:cs="Arial"/>
          <w:szCs w:val="22"/>
          <w:lang w:val="en-US"/>
        </w:rPr>
        <w:t xml:space="preserve">or </w:t>
      </w:r>
      <w:r w:rsidRPr="00691138">
        <w:rPr>
          <w:rFonts w:cs="Arial"/>
          <w:szCs w:val="22"/>
          <w:lang w:val="en-US"/>
        </w:rPr>
        <w:t xml:space="preserve">Well to Wake </w:t>
      </w:r>
      <w:r w:rsidR="002D0DC3">
        <w:rPr>
          <w:rFonts w:cs="Arial"/>
          <w:szCs w:val="22"/>
          <w:lang w:val="en-US"/>
        </w:rPr>
        <w:t xml:space="preserve">(WTW) </w:t>
      </w:r>
      <w:r w:rsidRPr="00691138">
        <w:rPr>
          <w:rFonts w:cs="Arial"/>
          <w:szCs w:val="22"/>
          <w:lang w:val="en-US"/>
        </w:rPr>
        <w:t>conversion factors, but cannot be less than zero</w:t>
      </w:r>
      <w:r w:rsidR="002D0DC3" w:rsidRPr="00691138">
        <w:rPr>
          <w:rFonts w:cs="Arial"/>
          <w:szCs w:val="22"/>
          <w:lang w:val="en-US"/>
        </w:rPr>
        <w:t>, as determined by the LCA Guidelines as follows</w:t>
      </w:r>
      <w:r w:rsidRPr="00691138">
        <w:rPr>
          <w:rFonts w:cs="Arial"/>
          <w:szCs w:val="22"/>
          <w:lang w:val="en-US"/>
        </w:rPr>
        <w:t>:</w:t>
      </w:r>
    </w:p>
    <w:p w14:paraId="0C119F6F" w14:textId="77777777" w:rsidR="0051485E" w:rsidRPr="00691138" w:rsidRDefault="0051485E" w:rsidP="0051485E">
      <w:pPr>
        <w:ind w:left="1080"/>
        <w:rPr>
          <w:rFonts w:cs="Arial"/>
          <w:szCs w:val="22"/>
          <w:lang w:val="en-US"/>
        </w:rPr>
      </w:pPr>
    </w:p>
    <w:p w14:paraId="1B1E2FCE" w14:textId="56B58060" w:rsidR="0051485E" w:rsidRPr="00E3618B" w:rsidRDefault="0051485E" w:rsidP="0051485E">
      <w:pPr>
        <w:tabs>
          <w:tab w:val="left" w:pos="3119"/>
        </w:tabs>
        <w:ind w:left="851"/>
        <w:rPr>
          <w:color w:val="000000" w:themeColor="text1"/>
          <w:szCs w:val="22"/>
        </w:rPr>
      </w:pPr>
      <w:r w:rsidRPr="00E3618B">
        <w:rPr>
          <w:b/>
          <w:bCs/>
          <w:color w:val="000000" w:themeColor="text1"/>
          <w:szCs w:val="22"/>
        </w:rPr>
        <w:t>Rate of GHG fee</w:t>
      </w:r>
      <w:r w:rsidRPr="00E3618B">
        <w:rPr>
          <w:color w:val="000000" w:themeColor="text1"/>
          <w:szCs w:val="22"/>
        </w:rPr>
        <w:t xml:space="preserve">: </w:t>
      </w:r>
      <w:r w:rsidRPr="00E3618B">
        <w:rPr>
          <w:b/>
          <w:bCs/>
          <w:color w:val="000000" w:themeColor="text1"/>
          <w:szCs w:val="22"/>
        </w:rPr>
        <w:t>US$[</w:t>
      </w:r>
      <w:r w:rsidR="007E4ADD">
        <w:rPr>
          <w:b/>
          <w:bCs/>
          <w:color w:val="000000" w:themeColor="text1"/>
          <w:szCs w:val="22"/>
        </w:rPr>
        <w:t>18.75</w:t>
      </w:r>
      <w:r w:rsidRPr="00E3618B">
        <w:rPr>
          <w:b/>
          <w:bCs/>
          <w:color w:val="000000" w:themeColor="text1"/>
          <w:szCs w:val="22"/>
        </w:rPr>
        <w:t xml:space="preserve">] </w:t>
      </w:r>
      <w:r w:rsidRPr="00917C59">
        <w:rPr>
          <w:b/>
          <w:bCs/>
          <w:color w:val="000000" w:themeColor="text1"/>
          <w:szCs w:val="22"/>
          <w:u w:val="single"/>
        </w:rPr>
        <w:t>per tonne of CO</w:t>
      </w:r>
      <w:r w:rsidRPr="00917C59">
        <w:rPr>
          <w:b/>
          <w:bCs/>
          <w:color w:val="000000" w:themeColor="text1"/>
          <w:szCs w:val="22"/>
          <w:u w:val="single"/>
          <w:vertAlign w:val="subscript"/>
        </w:rPr>
        <w:t>2</w:t>
      </w:r>
      <w:r w:rsidRPr="00917C59">
        <w:rPr>
          <w:b/>
          <w:bCs/>
          <w:color w:val="000000" w:themeColor="text1"/>
          <w:szCs w:val="22"/>
          <w:u w:val="single"/>
        </w:rPr>
        <w:t>e emitted</w:t>
      </w:r>
      <w:r w:rsidRPr="00E3618B">
        <w:rPr>
          <w:b/>
          <w:bCs/>
          <w:color w:val="000000" w:themeColor="text1"/>
          <w:szCs w:val="22"/>
        </w:rPr>
        <w:t xml:space="preserve"> by the ship</w:t>
      </w:r>
    </w:p>
    <w:p w14:paraId="701CBA70" w14:textId="77777777" w:rsidR="0051485E" w:rsidRPr="00E3618B" w:rsidRDefault="0051485E" w:rsidP="0051485E">
      <w:pPr>
        <w:rPr>
          <w:color w:val="000000" w:themeColor="text1"/>
          <w:szCs w:val="22"/>
        </w:rPr>
      </w:pPr>
    </w:p>
    <w:p w14:paraId="19295B44" w14:textId="77777777" w:rsidR="0051485E" w:rsidRPr="00E3618B" w:rsidRDefault="0051485E" w:rsidP="0051485E">
      <w:pPr>
        <w:ind w:left="851"/>
        <w:rPr>
          <w:strike/>
          <w:color w:val="000000" w:themeColor="text1"/>
          <w:szCs w:val="22"/>
          <w:lang w:eastAsia="ja-JP"/>
        </w:rPr>
      </w:pPr>
      <w:r w:rsidRPr="00E3618B">
        <w:rPr>
          <w:color w:val="000000" w:themeColor="text1"/>
          <w:u w:val="single"/>
        </w:rPr>
        <w:t>For LNG</w:t>
      </w:r>
      <w:r w:rsidRPr="00E3618B">
        <w:rPr>
          <w:color w:val="000000" w:themeColor="text1"/>
          <w:szCs w:val="22"/>
        </w:rPr>
        <w:t xml:space="preserve">: equivalent to US$[…] </w:t>
      </w:r>
      <w:r w:rsidRPr="0052383E">
        <w:rPr>
          <w:color w:val="000000" w:themeColor="text1"/>
          <w:szCs w:val="22"/>
          <w:u w:val="single"/>
        </w:rPr>
        <w:t>per tonne of LNG 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629F0DDA" w14:textId="77777777" w:rsidR="0051485E" w:rsidRPr="00E3618B" w:rsidRDefault="0051485E" w:rsidP="0051485E">
      <w:pPr>
        <w:rPr>
          <w:color w:val="000000" w:themeColor="text1"/>
          <w:szCs w:val="22"/>
        </w:rPr>
      </w:pPr>
    </w:p>
    <w:p w14:paraId="0AE34F59" w14:textId="77777777" w:rsidR="0051485E" w:rsidRPr="00E3618B" w:rsidRDefault="0051485E" w:rsidP="0051485E">
      <w:pPr>
        <w:ind w:left="851"/>
        <w:rPr>
          <w:strike/>
          <w:color w:val="000000" w:themeColor="text1"/>
          <w:szCs w:val="22"/>
          <w:lang w:eastAsia="ja-JP"/>
        </w:rPr>
      </w:pPr>
      <w:r w:rsidRPr="00E3618B">
        <w:rPr>
          <w:color w:val="000000" w:themeColor="text1"/>
          <w:szCs w:val="22"/>
          <w:u w:val="single"/>
        </w:rPr>
        <w:t>For Bio-diesel</w:t>
      </w:r>
      <w:r w:rsidRPr="00E3618B">
        <w:rPr>
          <w:color w:val="000000" w:themeColor="text1"/>
          <w:szCs w:val="22"/>
        </w:rPr>
        <w:t>: equivalent to US$[</w:t>
      </w:r>
      <w:r>
        <w:rPr>
          <w:color w:val="000000" w:themeColor="text1"/>
          <w:szCs w:val="22"/>
        </w:rPr>
        <w:t>…</w:t>
      </w:r>
      <w:r w:rsidRPr="00E3618B">
        <w:rPr>
          <w:color w:val="000000" w:themeColor="text1"/>
          <w:szCs w:val="22"/>
        </w:rPr>
        <w:t xml:space="preserve">] </w:t>
      </w:r>
      <w:r w:rsidRPr="0052383E">
        <w:rPr>
          <w:color w:val="000000" w:themeColor="text1"/>
          <w:szCs w:val="22"/>
          <w:u w:val="single"/>
        </w:rPr>
        <w:t>per tonne of bio-diesel</w:t>
      </w:r>
      <w:r>
        <w:rPr>
          <w:color w:val="000000" w:themeColor="text1"/>
          <w:szCs w:val="22"/>
          <w:u w:val="single"/>
        </w:rPr>
        <w:t xml:space="preserve"> </w:t>
      </w:r>
      <w:r w:rsidRPr="0052383E">
        <w:rPr>
          <w:color w:val="000000" w:themeColor="text1"/>
          <w:szCs w:val="22"/>
          <w:u w:val="single"/>
        </w:rPr>
        <w:t>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4D67B311" w14:textId="77777777" w:rsidR="0051485E" w:rsidRPr="00E3618B" w:rsidRDefault="0051485E" w:rsidP="0051485E">
      <w:pPr>
        <w:rPr>
          <w:color w:val="000000" w:themeColor="text1"/>
          <w:szCs w:val="22"/>
          <w:u w:val="single"/>
        </w:rPr>
      </w:pPr>
      <w:r w:rsidRPr="00E3618B">
        <w:rPr>
          <w:color w:val="000000" w:themeColor="text1"/>
          <w:szCs w:val="22"/>
          <w:u w:val="single"/>
        </w:rPr>
        <w:t xml:space="preserve"> </w:t>
      </w:r>
    </w:p>
    <w:p w14:paraId="1E4D73B0" w14:textId="77777777" w:rsidR="0051485E" w:rsidRPr="00E3618B" w:rsidRDefault="0051485E" w:rsidP="0051485E">
      <w:pPr>
        <w:ind w:left="851"/>
        <w:rPr>
          <w:strike/>
          <w:color w:val="000000" w:themeColor="text1"/>
          <w:szCs w:val="22"/>
          <w:lang w:eastAsia="ja-JP"/>
        </w:rPr>
      </w:pPr>
      <w:r w:rsidRPr="00E3618B">
        <w:rPr>
          <w:color w:val="000000" w:themeColor="text1"/>
          <w:szCs w:val="22"/>
          <w:u w:val="single"/>
        </w:rPr>
        <w:t>For Methanol</w:t>
      </w:r>
      <w:r w:rsidRPr="00E3618B">
        <w:rPr>
          <w:color w:val="000000" w:themeColor="text1"/>
          <w:szCs w:val="22"/>
        </w:rPr>
        <w:t xml:space="preserve">: equivalent to US$[…] </w:t>
      </w:r>
      <w:r w:rsidRPr="0052383E">
        <w:rPr>
          <w:color w:val="000000" w:themeColor="text1"/>
          <w:szCs w:val="22"/>
          <w:u w:val="single"/>
        </w:rPr>
        <w:t>per tonne of methanol 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1C5BD89E" w14:textId="77777777" w:rsidR="0051485E" w:rsidRDefault="0051485E" w:rsidP="0051485E">
      <w:pPr>
        <w:rPr>
          <w:color w:val="000000" w:themeColor="text1"/>
          <w:szCs w:val="22"/>
          <w:u w:val="single"/>
        </w:rPr>
      </w:pPr>
    </w:p>
    <w:p w14:paraId="0A91E949" w14:textId="77777777" w:rsidR="0051485E" w:rsidRPr="00E3618B" w:rsidRDefault="0051485E" w:rsidP="0051485E">
      <w:pPr>
        <w:ind w:left="851"/>
        <w:rPr>
          <w:strike/>
          <w:color w:val="000000" w:themeColor="text1"/>
          <w:szCs w:val="22"/>
          <w:lang w:eastAsia="ja-JP"/>
        </w:rPr>
      </w:pPr>
      <w:r w:rsidRPr="00E3618B">
        <w:rPr>
          <w:color w:val="000000" w:themeColor="text1"/>
          <w:szCs w:val="22"/>
          <w:u w:val="single"/>
        </w:rPr>
        <w:t xml:space="preserve">For </w:t>
      </w:r>
      <w:r>
        <w:rPr>
          <w:color w:val="000000" w:themeColor="text1"/>
          <w:szCs w:val="22"/>
          <w:u w:val="single"/>
        </w:rPr>
        <w:t xml:space="preserve">Green </w:t>
      </w:r>
      <w:r w:rsidRPr="00E3618B">
        <w:rPr>
          <w:color w:val="000000" w:themeColor="text1"/>
          <w:szCs w:val="22"/>
          <w:u w:val="single"/>
        </w:rPr>
        <w:t>Methanol</w:t>
      </w:r>
      <w:r w:rsidRPr="00E3618B">
        <w:rPr>
          <w:color w:val="000000" w:themeColor="text1"/>
          <w:szCs w:val="22"/>
        </w:rPr>
        <w:t>: equivalent to US$</w:t>
      </w:r>
      <w:r>
        <w:rPr>
          <w:color w:val="000000" w:themeColor="text1"/>
          <w:szCs w:val="22"/>
        </w:rPr>
        <w:t>[0</w:t>
      </w:r>
      <w:r w:rsidRPr="00E3618B">
        <w:rPr>
          <w:color w:val="000000" w:themeColor="text1"/>
          <w:szCs w:val="22"/>
        </w:rPr>
        <w:t xml:space="preserve">] </w:t>
      </w:r>
      <w:r w:rsidRPr="0052383E">
        <w:rPr>
          <w:color w:val="000000" w:themeColor="text1"/>
          <w:szCs w:val="22"/>
          <w:u w:val="single"/>
        </w:rPr>
        <w:t>per tonne of methanol 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1AAF5EBA" w14:textId="77777777" w:rsidR="0051485E" w:rsidRPr="00E3618B" w:rsidRDefault="0051485E" w:rsidP="0051485E">
      <w:pPr>
        <w:rPr>
          <w:color w:val="000000" w:themeColor="text1"/>
          <w:szCs w:val="22"/>
          <w:u w:val="single"/>
        </w:rPr>
      </w:pPr>
    </w:p>
    <w:p w14:paraId="54D1CACE" w14:textId="77777777" w:rsidR="0051485E" w:rsidRDefault="0051485E" w:rsidP="0051485E">
      <w:pPr>
        <w:ind w:left="851"/>
        <w:rPr>
          <w:color w:val="000000" w:themeColor="text1"/>
          <w:szCs w:val="22"/>
          <w:lang w:eastAsia="ja-JP"/>
        </w:rPr>
      </w:pPr>
      <w:r w:rsidRPr="00E3618B">
        <w:rPr>
          <w:color w:val="000000" w:themeColor="text1"/>
          <w:szCs w:val="22"/>
          <w:u w:val="single"/>
        </w:rPr>
        <w:t>For Ammonia</w:t>
      </w:r>
      <w:r w:rsidRPr="00E3618B">
        <w:rPr>
          <w:color w:val="000000" w:themeColor="text1"/>
          <w:szCs w:val="22"/>
        </w:rPr>
        <w:t xml:space="preserve">: equivalent to US$[…] </w:t>
      </w:r>
      <w:r w:rsidRPr="0052383E">
        <w:rPr>
          <w:color w:val="000000" w:themeColor="text1"/>
          <w:szCs w:val="22"/>
          <w:u w:val="single"/>
        </w:rPr>
        <w:t>per tonne of ammonia 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0F5E1462" w14:textId="77777777" w:rsidR="0051485E" w:rsidRDefault="0051485E" w:rsidP="0051485E">
      <w:pPr>
        <w:ind w:left="851"/>
        <w:rPr>
          <w:strike/>
          <w:color w:val="000000" w:themeColor="text1"/>
          <w:szCs w:val="22"/>
          <w:lang w:eastAsia="ja-JP"/>
        </w:rPr>
      </w:pPr>
    </w:p>
    <w:p w14:paraId="2740BB62" w14:textId="77777777" w:rsidR="0051485E" w:rsidRPr="00E3618B" w:rsidRDefault="0051485E" w:rsidP="0051485E">
      <w:pPr>
        <w:ind w:left="851"/>
        <w:rPr>
          <w:strike/>
          <w:color w:val="000000" w:themeColor="text1"/>
          <w:szCs w:val="22"/>
          <w:lang w:eastAsia="ja-JP"/>
        </w:rPr>
      </w:pPr>
      <w:r w:rsidRPr="00E3618B">
        <w:rPr>
          <w:color w:val="000000" w:themeColor="text1"/>
          <w:szCs w:val="22"/>
          <w:u w:val="single"/>
        </w:rPr>
        <w:t xml:space="preserve">For </w:t>
      </w:r>
      <w:r>
        <w:rPr>
          <w:color w:val="000000" w:themeColor="text1"/>
          <w:szCs w:val="22"/>
          <w:u w:val="single"/>
        </w:rPr>
        <w:t xml:space="preserve">Green </w:t>
      </w:r>
      <w:r w:rsidRPr="00E3618B">
        <w:rPr>
          <w:color w:val="000000" w:themeColor="text1"/>
          <w:szCs w:val="22"/>
          <w:u w:val="single"/>
        </w:rPr>
        <w:t>Ammonia</w:t>
      </w:r>
      <w:r w:rsidRPr="00E3618B">
        <w:rPr>
          <w:color w:val="000000" w:themeColor="text1"/>
          <w:szCs w:val="22"/>
        </w:rPr>
        <w:t>: equivalent to US$</w:t>
      </w:r>
      <w:r>
        <w:rPr>
          <w:color w:val="000000" w:themeColor="text1"/>
          <w:szCs w:val="22"/>
        </w:rPr>
        <w:t>[0</w:t>
      </w:r>
      <w:r w:rsidRPr="00E3618B">
        <w:rPr>
          <w:color w:val="000000" w:themeColor="text1"/>
          <w:szCs w:val="22"/>
        </w:rPr>
        <w:t xml:space="preserve">] </w:t>
      </w:r>
      <w:r w:rsidRPr="0052383E">
        <w:rPr>
          <w:color w:val="000000" w:themeColor="text1"/>
          <w:szCs w:val="22"/>
          <w:u w:val="single"/>
        </w:rPr>
        <w:t>per tonne of ammonia 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796178E3" w14:textId="77777777" w:rsidR="0051485E" w:rsidRPr="00E3618B" w:rsidRDefault="0051485E" w:rsidP="0051485E">
      <w:pPr>
        <w:rPr>
          <w:color w:val="000000" w:themeColor="text1"/>
          <w:szCs w:val="22"/>
        </w:rPr>
      </w:pPr>
    </w:p>
    <w:p w14:paraId="2B6797F3" w14:textId="77777777" w:rsidR="0051485E" w:rsidRDefault="0051485E" w:rsidP="0051485E">
      <w:pPr>
        <w:ind w:left="851"/>
        <w:rPr>
          <w:color w:val="000000" w:themeColor="text1"/>
          <w:szCs w:val="22"/>
          <w:lang w:eastAsia="ja-JP"/>
        </w:rPr>
      </w:pPr>
      <w:r w:rsidRPr="00E3618B">
        <w:rPr>
          <w:color w:val="000000" w:themeColor="text1"/>
          <w:szCs w:val="22"/>
          <w:u w:val="single"/>
        </w:rPr>
        <w:t>For Hydrogen</w:t>
      </w:r>
      <w:r w:rsidRPr="00E3618B">
        <w:rPr>
          <w:color w:val="000000" w:themeColor="text1"/>
          <w:szCs w:val="22"/>
        </w:rPr>
        <w:t xml:space="preserve">: equivalent to US$[…] </w:t>
      </w:r>
      <w:r w:rsidRPr="007944D6">
        <w:rPr>
          <w:color w:val="000000" w:themeColor="text1"/>
          <w:szCs w:val="22"/>
          <w:u w:val="single"/>
        </w:rPr>
        <w:t>per tonne of hydrogen 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403D05F1" w14:textId="77777777" w:rsidR="0051485E" w:rsidRDefault="0051485E" w:rsidP="0051485E">
      <w:pPr>
        <w:ind w:left="851"/>
        <w:rPr>
          <w:color w:val="000000" w:themeColor="text1"/>
          <w:szCs w:val="22"/>
          <w:lang w:eastAsia="ja-JP"/>
        </w:rPr>
      </w:pPr>
    </w:p>
    <w:p w14:paraId="0019BF07" w14:textId="77777777" w:rsidR="0051485E" w:rsidRPr="00DA1979" w:rsidRDefault="0051485E" w:rsidP="0051485E">
      <w:pPr>
        <w:ind w:left="851"/>
        <w:rPr>
          <w:color w:val="000000" w:themeColor="text1"/>
          <w:szCs w:val="22"/>
          <w:lang w:eastAsia="ja-JP"/>
        </w:rPr>
      </w:pPr>
      <w:r w:rsidRPr="00E3618B">
        <w:rPr>
          <w:color w:val="000000" w:themeColor="text1"/>
          <w:szCs w:val="22"/>
          <w:u w:val="single"/>
        </w:rPr>
        <w:t xml:space="preserve">For </w:t>
      </w:r>
      <w:r>
        <w:rPr>
          <w:color w:val="000000" w:themeColor="text1"/>
          <w:szCs w:val="22"/>
          <w:u w:val="single"/>
        </w:rPr>
        <w:t xml:space="preserve">Green </w:t>
      </w:r>
      <w:r w:rsidRPr="00E3618B">
        <w:rPr>
          <w:color w:val="000000" w:themeColor="text1"/>
          <w:szCs w:val="22"/>
          <w:u w:val="single"/>
        </w:rPr>
        <w:t>Hydrogen</w:t>
      </w:r>
      <w:r w:rsidRPr="00E3618B">
        <w:rPr>
          <w:color w:val="000000" w:themeColor="text1"/>
          <w:szCs w:val="22"/>
        </w:rPr>
        <w:t>: equivalent to US$[</w:t>
      </w:r>
      <w:r>
        <w:rPr>
          <w:color w:val="000000" w:themeColor="text1"/>
          <w:szCs w:val="22"/>
        </w:rPr>
        <w:t>0</w:t>
      </w:r>
      <w:r w:rsidRPr="00E3618B">
        <w:rPr>
          <w:color w:val="000000" w:themeColor="text1"/>
          <w:szCs w:val="22"/>
        </w:rPr>
        <w:t xml:space="preserve">] </w:t>
      </w:r>
      <w:r w:rsidRPr="007944D6">
        <w:rPr>
          <w:color w:val="000000" w:themeColor="text1"/>
          <w:szCs w:val="22"/>
          <w:u w:val="single"/>
        </w:rPr>
        <w:t>per tonne of hydrogen consumed by the ship</w:t>
      </w:r>
      <w:r w:rsidRPr="00E3618B">
        <w:rPr>
          <w:color w:val="000000" w:themeColor="text1"/>
          <w:szCs w:val="22"/>
        </w:rPr>
        <w:t>,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76C2262A" w14:textId="77777777" w:rsidR="0051485E" w:rsidRPr="00E3618B" w:rsidRDefault="0051485E" w:rsidP="0051485E">
      <w:pPr>
        <w:rPr>
          <w:color w:val="000000" w:themeColor="text1"/>
          <w:szCs w:val="22"/>
        </w:rPr>
      </w:pPr>
    </w:p>
    <w:p w14:paraId="113F0310" w14:textId="77777777" w:rsidR="0051485E" w:rsidRPr="00E3618B" w:rsidRDefault="0051485E" w:rsidP="0051485E">
      <w:pPr>
        <w:rPr>
          <w:color w:val="000000" w:themeColor="text1"/>
          <w:szCs w:val="22"/>
        </w:rPr>
      </w:pPr>
      <w:r>
        <w:rPr>
          <w:color w:val="000000" w:themeColor="text1"/>
          <w:szCs w:val="22"/>
        </w:rPr>
        <w:t>3</w:t>
      </w:r>
      <w:r w:rsidRPr="00E3618B">
        <w:rPr>
          <w:color w:val="000000" w:themeColor="text1"/>
          <w:szCs w:val="22"/>
        </w:rPr>
        <w:tab/>
        <w:t>In the case of a ship equipped with a dual-fuel main or auxiliary engine, the ship shall provide the Organization via the maritime GHG emissions pricing mechanism with fuel oil consumption data for both types of fuel, as provided to the Administration in accordance with regulation 27.3 of MARPOL Annex VI.</w:t>
      </w:r>
    </w:p>
    <w:p w14:paraId="396529FF" w14:textId="77777777" w:rsidR="0051485E" w:rsidRPr="00E3618B" w:rsidRDefault="0051485E" w:rsidP="0051485E">
      <w:pPr>
        <w:rPr>
          <w:color w:val="000000" w:themeColor="text1"/>
          <w:szCs w:val="22"/>
        </w:rPr>
      </w:pPr>
    </w:p>
    <w:p w14:paraId="7908E36A" w14:textId="5FE44C7F" w:rsidR="0051485E" w:rsidRPr="00E3618B" w:rsidRDefault="0051485E" w:rsidP="0051485E">
      <w:pPr>
        <w:rPr>
          <w:color w:val="000000" w:themeColor="text1"/>
          <w:szCs w:val="22"/>
        </w:rPr>
      </w:pPr>
      <w:r>
        <w:rPr>
          <w:bCs/>
          <w:color w:val="000000" w:themeColor="text1"/>
          <w:szCs w:val="22"/>
        </w:rPr>
        <w:t>4</w:t>
      </w:r>
      <w:r w:rsidRPr="00E3618B">
        <w:rPr>
          <w:bCs/>
          <w:color w:val="000000" w:themeColor="text1"/>
          <w:szCs w:val="22"/>
        </w:rPr>
        <w:tab/>
        <w:t xml:space="preserve">Notwithstanding the requirement under regulation </w:t>
      </w:r>
      <w:r>
        <w:rPr>
          <w:color w:val="000000" w:themeColor="text1"/>
          <w:szCs w:val="22"/>
        </w:rPr>
        <w:t>40</w:t>
      </w:r>
      <w:r w:rsidR="0052014F">
        <w:rPr>
          <w:color w:val="000000" w:themeColor="text1"/>
          <w:szCs w:val="22"/>
        </w:rPr>
        <w:t xml:space="preserve"> </w:t>
      </w:r>
      <w:r w:rsidRPr="00E3618B">
        <w:rPr>
          <w:color w:val="000000" w:themeColor="text1"/>
          <w:szCs w:val="22"/>
        </w:rPr>
        <w:t>of MARPOL Annex VI</w:t>
      </w:r>
      <w:r w:rsidRPr="00E3618B">
        <w:rPr>
          <w:bCs/>
          <w:color w:val="000000" w:themeColor="text1"/>
          <w:szCs w:val="22"/>
        </w:rPr>
        <w:t xml:space="preserve"> for a ship to transmit a GHG fee, the entity ultimately responsible for paying for the cost of the fuel oil should be responsible for meeting the cost of the contribution.  When </w:t>
      </w:r>
      <w:r w:rsidRPr="00E3618B">
        <w:rPr>
          <w:color w:val="000000" w:themeColor="text1"/>
          <w:szCs w:val="22"/>
        </w:rPr>
        <w:t xml:space="preserve">a ship is operating under a charter party clause which requires the charterer to pay for the fuel oil purchased for </w:t>
      </w:r>
      <w:r w:rsidRPr="00E3618B">
        <w:rPr>
          <w:color w:val="000000" w:themeColor="text1"/>
          <w:szCs w:val="22"/>
        </w:rPr>
        <w:lastRenderedPageBreak/>
        <w:t xml:space="preserve">consumption on that ship, the cost of the associated GHG fee for that ship </w:t>
      </w:r>
      <w:r w:rsidRPr="00E3618B">
        <w:rPr>
          <w:bCs/>
          <w:color w:val="000000" w:themeColor="text1"/>
          <w:szCs w:val="22"/>
        </w:rPr>
        <w:t xml:space="preserve">should </w:t>
      </w:r>
      <w:r w:rsidRPr="00E3618B">
        <w:rPr>
          <w:color w:val="000000" w:themeColor="text1"/>
          <w:szCs w:val="22"/>
        </w:rPr>
        <w:t>be the responsibility of the charterer.</w:t>
      </w:r>
    </w:p>
    <w:p w14:paraId="65095A28" w14:textId="77777777" w:rsidR="0051485E" w:rsidRPr="00E3618B" w:rsidRDefault="0051485E" w:rsidP="0051485E">
      <w:pPr>
        <w:rPr>
          <w:color w:val="000000" w:themeColor="text1"/>
          <w:szCs w:val="22"/>
        </w:rPr>
      </w:pPr>
    </w:p>
    <w:p w14:paraId="26A20065" w14:textId="3B4F89CD" w:rsidR="003213FD" w:rsidRPr="00E3618B" w:rsidRDefault="0051485E" w:rsidP="0051485E">
      <w:pPr>
        <w:rPr>
          <w:color w:val="000000" w:themeColor="text1"/>
          <w:szCs w:val="22"/>
          <w:lang w:eastAsia="ja-JP"/>
        </w:rPr>
      </w:pPr>
      <w:r>
        <w:rPr>
          <w:color w:val="000000" w:themeColor="text1"/>
          <w:szCs w:val="22"/>
          <w:lang w:eastAsia="ja-JP"/>
        </w:rPr>
        <w:t>5</w:t>
      </w:r>
      <w:r w:rsidRPr="00E3618B">
        <w:rPr>
          <w:color w:val="000000" w:themeColor="text1"/>
          <w:szCs w:val="22"/>
          <w:lang w:eastAsia="ja-JP"/>
        </w:rPr>
        <w:tab/>
        <w:t xml:space="preserve">To avoid double </w:t>
      </w:r>
      <w:r>
        <w:rPr>
          <w:color w:val="000000" w:themeColor="text1"/>
          <w:szCs w:val="22"/>
          <w:lang w:eastAsia="ja-JP"/>
        </w:rPr>
        <w:t>charging</w:t>
      </w:r>
      <w:r w:rsidRPr="00E3618B">
        <w:rPr>
          <w:color w:val="000000" w:themeColor="text1"/>
          <w:szCs w:val="22"/>
          <w:lang w:eastAsia="ja-JP"/>
        </w:rPr>
        <w:t xml:space="preserve"> </w:t>
      </w:r>
      <w:r>
        <w:rPr>
          <w:color w:val="000000" w:themeColor="text1"/>
          <w:szCs w:val="22"/>
          <w:lang w:eastAsia="ja-JP"/>
        </w:rPr>
        <w:t>for</w:t>
      </w:r>
      <w:r w:rsidRPr="00E3618B">
        <w:rPr>
          <w:color w:val="000000" w:themeColor="text1"/>
          <w:szCs w:val="22"/>
          <w:lang w:eastAsia="ja-JP"/>
        </w:rPr>
        <w:t xml:space="preserve"> CO</w:t>
      </w:r>
      <w:r w:rsidRPr="00E3618B">
        <w:rPr>
          <w:color w:val="000000" w:themeColor="text1"/>
          <w:szCs w:val="22"/>
          <w:vertAlign w:val="subscript"/>
          <w:lang w:eastAsia="ja-JP"/>
        </w:rPr>
        <w:t>2</w:t>
      </w:r>
      <w:r w:rsidRPr="00E3618B">
        <w:rPr>
          <w:color w:val="000000" w:themeColor="text1"/>
          <w:szCs w:val="22"/>
          <w:lang w:eastAsia="ja-JP"/>
        </w:rPr>
        <w:t xml:space="preserve">e emissions, both in measures adopted by the Organization and other regional or national measures, the mandatory GHG fee made by a ship via the maritime GHG emissions pricing mechanism established for international shipping should not be duplicative, and emissions or fuel consumption </w:t>
      </w:r>
      <w:r>
        <w:rPr>
          <w:color w:val="000000" w:themeColor="text1"/>
          <w:szCs w:val="22"/>
          <w:lang w:eastAsia="ja-JP"/>
        </w:rPr>
        <w:t xml:space="preserve">that forms </w:t>
      </w:r>
      <w:r w:rsidRPr="00E3618B">
        <w:rPr>
          <w:color w:val="000000" w:themeColor="text1"/>
          <w:szCs w:val="22"/>
          <w:lang w:eastAsia="ja-JP"/>
        </w:rPr>
        <w:t xml:space="preserve">the basis of such a GHG fee </w:t>
      </w:r>
      <w:r>
        <w:rPr>
          <w:color w:val="000000" w:themeColor="text1"/>
          <w:szCs w:val="22"/>
          <w:lang w:eastAsia="ja-JP"/>
        </w:rPr>
        <w:t xml:space="preserve">or charges for GHG emissions </w:t>
      </w:r>
      <w:r w:rsidRPr="00E3618B">
        <w:rPr>
          <w:color w:val="000000" w:themeColor="text1"/>
          <w:szCs w:val="22"/>
          <w:lang w:eastAsia="ja-JP"/>
        </w:rPr>
        <w:t>should be accounted for only once.</w:t>
      </w:r>
    </w:p>
    <w:p w14:paraId="23DAB5FD" w14:textId="77777777" w:rsidR="0051485E" w:rsidRDefault="0051485E" w:rsidP="0051485E">
      <w:pPr>
        <w:rPr>
          <w:b/>
          <w:bCs/>
          <w:color w:val="000000" w:themeColor="text1"/>
          <w:szCs w:val="22"/>
          <w:lang w:eastAsia="ja-JP"/>
        </w:rPr>
      </w:pPr>
    </w:p>
    <w:p w14:paraId="18847744" w14:textId="77777777" w:rsidR="0051485E" w:rsidRPr="00E3618B" w:rsidRDefault="0051485E" w:rsidP="0051485E">
      <w:pPr>
        <w:rPr>
          <w:b/>
          <w:bCs/>
          <w:color w:val="000000" w:themeColor="text1"/>
          <w:szCs w:val="22"/>
          <w:lang w:eastAsia="ja-JP"/>
        </w:rPr>
      </w:pPr>
      <w:r w:rsidRPr="00E3618B">
        <w:rPr>
          <w:b/>
          <w:bCs/>
          <w:color w:val="000000" w:themeColor="text1"/>
          <w:szCs w:val="22"/>
          <w:lang w:eastAsia="ja-JP"/>
        </w:rPr>
        <w:t>Feebate from maritime GHG emissions pricing mechanism</w:t>
      </w:r>
    </w:p>
    <w:p w14:paraId="2CE022B4" w14:textId="77777777" w:rsidR="0051485E" w:rsidRPr="00E3618B" w:rsidRDefault="0051485E" w:rsidP="0051485E">
      <w:pPr>
        <w:rPr>
          <w:color w:val="000000" w:themeColor="text1"/>
          <w:szCs w:val="22"/>
          <w:lang w:eastAsia="ja-JP"/>
        </w:rPr>
      </w:pPr>
    </w:p>
    <w:p w14:paraId="2DA0134E" w14:textId="3E90CE93" w:rsidR="0051485E" w:rsidRPr="00E3618B" w:rsidRDefault="0051485E" w:rsidP="0051485E">
      <w:pPr>
        <w:rPr>
          <w:color w:val="000000" w:themeColor="text1"/>
          <w:szCs w:val="22"/>
        </w:rPr>
      </w:pPr>
      <w:r>
        <w:rPr>
          <w:color w:val="000000" w:themeColor="text1"/>
          <w:szCs w:val="22"/>
        </w:rPr>
        <w:t>6</w:t>
      </w:r>
      <w:r w:rsidRPr="00E3618B">
        <w:rPr>
          <w:color w:val="000000" w:themeColor="text1"/>
          <w:szCs w:val="22"/>
        </w:rPr>
        <w:tab/>
        <w:t xml:space="preserve">Pursuant to regulation </w:t>
      </w:r>
      <w:r>
        <w:rPr>
          <w:color w:val="000000" w:themeColor="text1"/>
          <w:szCs w:val="22"/>
        </w:rPr>
        <w:t>41</w:t>
      </w:r>
      <w:r w:rsidRPr="00E3618B">
        <w:rPr>
          <w:color w:val="000000" w:themeColor="text1"/>
          <w:szCs w:val="22"/>
        </w:rPr>
        <w:t xml:space="preserve">.1 of MARPOL Annex VI, </w:t>
      </w:r>
      <w:r>
        <w:rPr>
          <w:color w:val="000000" w:themeColor="text1"/>
          <w:szCs w:val="22"/>
        </w:rPr>
        <w:t xml:space="preserve">and taking account of the </w:t>
      </w:r>
      <w:r>
        <w:rPr>
          <w:caps/>
          <w:color w:val="000000" w:themeColor="text1"/>
          <w:szCs w:val="22"/>
        </w:rPr>
        <w:t xml:space="preserve">LCA </w:t>
      </w:r>
      <w:r w:rsidRPr="009975EC">
        <w:t>G</w:t>
      </w:r>
      <w:r>
        <w:t xml:space="preserve">uidelines, the </w:t>
      </w:r>
      <w:r w:rsidRPr="009975EC">
        <w:t>feebate</w:t>
      </w:r>
      <w:r w:rsidRPr="00E3618B">
        <w:rPr>
          <w:color w:val="000000" w:themeColor="text1"/>
          <w:szCs w:val="22"/>
        </w:rPr>
        <w:t xml:space="preserve"> for each ship using eligible zero or near-zero GHG fuels</w:t>
      </w:r>
      <w:r>
        <w:rPr>
          <w:color w:val="000000" w:themeColor="text1"/>
          <w:szCs w:val="22"/>
        </w:rPr>
        <w:t xml:space="preserve">, energy sources or technologies </w:t>
      </w:r>
      <w:r w:rsidRPr="00E3618B">
        <w:rPr>
          <w:rStyle w:val="FootnoteReference"/>
          <w:color w:val="000000" w:themeColor="text1"/>
          <w:szCs w:val="22"/>
        </w:rPr>
        <w:footnoteReference w:id="32"/>
      </w:r>
      <w:r w:rsidRPr="00E3618B">
        <w:rPr>
          <w:color w:val="000000" w:themeColor="text1"/>
          <w:szCs w:val="22"/>
        </w:rPr>
        <w:t xml:space="preserve"> </w:t>
      </w:r>
      <w:r>
        <w:rPr>
          <w:color w:val="000000" w:themeColor="text1"/>
          <w:szCs w:val="22"/>
        </w:rPr>
        <w:t>will</w:t>
      </w:r>
      <w:r w:rsidRPr="00E3618B">
        <w:rPr>
          <w:color w:val="000000" w:themeColor="text1"/>
          <w:szCs w:val="22"/>
        </w:rPr>
        <w:t xml:space="preserve"> be calculated </w:t>
      </w:r>
      <w:r>
        <w:rPr>
          <w:color w:val="000000" w:themeColor="text1"/>
          <w:szCs w:val="22"/>
        </w:rPr>
        <w:t xml:space="preserve">on a </w:t>
      </w:r>
      <w:r w:rsidR="002D0DC3">
        <w:rPr>
          <w:color w:val="000000" w:themeColor="text1"/>
          <w:szCs w:val="22"/>
        </w:rPr>
        <w:t>Well-to-Wake (</w:t>
      </w:r>
      <w:r>
        <w:rPr>
          <w:color w:val="000000" w:themeColor="text1"/>
          <w:szCs w:val="22"/>
        </w:rPr>
        <w:t>WTW</w:t>
      </w:r>
      <w:r w:rsidR="002D0DC3">
        <w:rPr>
          <w:color w:val="000000" w:themeColor="text1"/>
          <w:szCs w:val="22"/>
        </w:rPr>
        <w:t>)</w:t>
      </w:r>
      <w:r>
        <w:rPr>
          <w:color w:val="000000" w:themeColor="text1"/>
          <w:szCs w:val="22"/>
        </w:rPr>
        <w:t xml:space="preserve"> basis</w:t>
      </w:r>
      <w:r w:rsidR="002D0DC3" w:rsidRPr="002D0DC3">
        <w:rPr>
          <w:color w:val="000000" w:themeColor="text1"/>
          <w:szCs w:val="22"/>
        </w:rPr>
        <w:t xml:space="preserve"> </w:t>
      </w:r>
      <w:r w:rsidR="002D0DC3" w:rsidRPr="00E3618B">
        <w:rPr>
          <w:color w:val="000000" w:themeColor="text1"/>
          <w:szCs w:val="22"/>
        </w:rPr>
        <w:t>as follows</w:t>
      </w:r>
      <w:r w:rsidRPr="00E3618B">
        <w:rPr>
          <w:color w:val="000000" w:themeColor="text1"/>
          <w:szCs w:val="22"/>
        </w:rPr>
        <w:t>:</w:t>
      </w:r>
    </w:p>
    <w:p w14:paraId="71116ED9" w14:textId="77777777" w:rsidR="0051485E" w:rsidRPr="00E3618B" w:rsidRDefault="0051485E" w:rsidP="0051485E">
      <w:pPr>
        <w:rPr>
          <w:color w:val="000000" w:themeColor="text1"/>
          <w:szCs w:val="22"/>
        </w:rPr>
      </w:pPr>
    </w:p>
    <w:p w14:paraId="44D68107" w14:textId="77777777" w:rsidR="0051485E" w:rsidRPr="00E3618B" w:rsidRDefault="0051485E" w:rsidP="0051485E">
      <w:pPr>
        <w:tabs>
          <w:tab w:val="left" w:pos="3119"/>
        </w:tabs>
        <w:ind w:left="851"/>
        <w:rPr>
          <w:color w:val="000000" w:themeColor="text1"/>
          <w:szCs w:val="22"/>
        </w:rPr>
      </w:pPr>
      <w:r w:rsidRPr="00E3618B">
        <w:rPr>
          <w:b/>
          <w:bCs/>
          <w:color w:val="000000" w:themeColor="text1"/>
          <w:szCs w:val="22"/>
        </w:rPr>
        <w:t>Rate of feebate</w:t>
      </w:r>
      <w:r w:rsidRPr="00E3618B">
        <w:rPr>
          <w:color w:val="000000" w:themeColor="text1"/>
          <w:szCs w:val="22"/>
        </w:rPr>
        <w:t xml:space="preserve">: </w:t>
      </w:r>
      <w:r w:rsidRPr="00E3618B">
        <w:rPr>
          <w:b/>
          <w:bCs/>
          <w:color w:val="000000" w:themeColor="text1"/>
          <w:szCs w:val="22"/>
        </w:rPr>
        <w:t>US</w:t>
      </w:r>
      <w:r w:rsidRPr="005A2F5A">
        <w:rPr>
          <w:b/>
          <w:bCs/>
          <w:color w:val="000000" w:themeColor="text1"/>
          <w:szCs w:val="22"/>
        </w:rPr>
        <w:t>$[100]</w:t>
      </w:r>
      <w:r w:rsidRPr="00E3618B">
        <w:rPr>
          <w:b/>
          <w:bCs/>
          <w:color w:val="000000" w:themeColor="text1"/>
          <w:szCs w:val="22"/>
        </w:rPr>
        <w:t xml:space="preserve"> per tonne of CO</w:t>
      </w:r>
      <w:r w:rsidRPr="00E3618B">
        <w:rPr>
          <w:b/>
          <w:bCs/>
          <w:color w:val="000000" w:themeColor="text1"/>
          <w:szCs w:val="22"/>
          <w:vertAlign w:val="subscript"/>
        </w:rPr>
        <w:t>2</w:t>
      </w:r>
      <w:r w:rsidRPr="00E3618B">
        <w:rPr>
          <w:b/>
          <w:bCs/>
          <w:color w:val="000000" w:themeColor="text1"/>
          <w:szCs w:val="22"/>
        </w:rPr>
        <w:t>e emissions prevented</w:t>
      </w:r>
      <w:r w:rsidRPr="00E3618B">
        <w:rPr>
          <w:color w:val="000000" w:themeColor="text1"/>
          <w:szCs w:val="22"/>
        </w:rPr>
        <w:t xml:space="preserve"> </w:t>
      </w:r>
    </w:p>
    <w:p w14:paraId="7420CFAB" w14:textId="77777777" w:rsidR="0051485E" w:rsidRPr="00E3618B" w:rsidRDefault="0051485E" w:rsidP="0051485E">
      <w:pPr>
        <w:ind w:left="851"/>
        <w:rPr>
          <w:color w:val="000000" w:themeColor="text1"/>
          <w:szCs w:val="22"/>
        </w:rPr>
      </w:pPr>
    </w:p>
    <w:p w14:paraId="29CBC311" w14:textId="77777777" w:rsidR="0051485E" w:rsidRPr="00E3618B" w:rsidRDefault="0051485E" w:rsidP="0051485E">
      <w:pPr>
        <w:ind w:left="851"/>
        <w:rPr>
          <w:strike/>
          <w:color w:val="000000" w:themeColor="text1"/>
          <w:szCs w:val="22"/>
          <w:lang w:eastAsia="ja-JP"/>
        </w:rPr>
      </w:pPr>
      <w:r w:rsidRPr="00E3618B">
        <w:rPr>
          <w:color w:val="000000" w:themeColor="text1"/>
          <w:szCs w:val="22"/>
          <w:u w:val="single"/>
        </w:rPr>
        <w:t xml:space="preserve">For </w:t>
      </w:r>
      <w:r>
        <w:rPr>
          <w:color w:val="000000" w:themeColor="text1"/>
          <w:szCs w:val="22"/>
          <w:u w:val="single"/>
        </w:rPr>
        <w:t>B</w:t>
      </w:r>
      <w:r w:rsidRPr="00E3618B">
        <w:rPr>
          <w:color w:val="000000" w:themeColor="text1"/>
          <w:szCs w:val="22"/>
          <w:u w:val="single"/>
        </w:rPr>
        <w:t>io-diesel</w:t>
      </w:r>
      <w:r>
        <w:rPr>
          <w:color w:val="000000" w:themeColor="text1"/>
          <w:szCs w:val="22"/>
          <w:u w:val="single"/>
        </w:rPr>
        <w:t xml:space="preserve"> Blend</w:t>
      </w:r>
      <w:r w:rsidRPr="00E3618B">
        <w:rPr>
          <w:color w:val="000000" w:themeColor="text1"/>
          <w:szCs w:val="22"/>
        </w:rPr>
        <w:t xml:space="preserve">: equivalent to US$[…] per tonne of </w:t>
      </w:r>
      <w:r>
        <w:rPr>
          <w:color w:val="000000" w:themeColor="text1"/>
          <w:szCs w:val="22"/>
        </w:rPr>
        <w:t xml:space="preserve">biofuel component of </w:t>
      </w:r>
      <w:r w:rsidRPr="00E3618B">
        <w:rPr>
          <w:color w:val="000000" w:themeColor="text1"/>
          <w:szCs w:val="22"/>
        </w:rPr>
        <w:t xml:space="preserve">bio-diesel </w:t>
      </w:r>
      <w:r>
        <w:rPr>
          <w:color w:val="000000" w:themeColor="text1"/>
          <w:szCs w:val="22"/>
        </w:rPr>
        <w:t xml:space="preserve">blend </w:t>
      </w:r>
      <w:r w:rsidRPr="00E3618B">
        <w:rPr>
          <w:color w:val="000000" w:themeColor="text1"/>
          <w:szCs w:val="22"/>
        </w:rPr>
        <w:t>consumed by the ship,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0907250B" w14:textId="77777777" w:rsidR="0051485E" w:rsidRPr="00E3618B" w:rsidRDefault="0051485E" w:rsidP="0051485E">
      <w:pPr>
        <w:rPr>
          <w:color w:val="000000" w:themeColor="text1"/>
          <w:szCs w:val="22"/>
        </w:rPr>
      </w:pPr>
    </w:p>
    <w:p w14:paraId="7224BD82" w14:textId="77777777" w:rsidR="0051485E" w:rsidRPr="00E3618B" w:rsidRDefault="0051485E" w:rsidP="0051485E">
      <w:pPr>
        <w:ind w:left="851" w:hanging="1700"/>
        <w:rPr>
          <w:color w:val="000000" w:themeColor="text1"/>
          <w:szCs w:val="22"/>
          <w:lang w:eastAsia="ja-JP"/>
        </w:rPr>
      </w:pPr>
      <w:r w:rsidRPr="00E3618B">
        <w:rPr>
          <w:color w:val="000000" w:themeColor="text1"/>
          <w:szCs w:val="22"/>
        </w:rPr>
        <w:tab/>
      </w:r>
      <w:r w:rsidRPr="00E3618B">
        <w:rPr>
          <w:color w:val="000000" w:themeColor="text1"/>
          <w:szCs w:val="22"/>
          <w:u w:val="single"/>
        </w:rPr>
        <w:t xml:space="preserve">For </w:t>
      </w:r>
      <w:r>
        <w:rPr>
          <w:color w:val="000000" w:themeColor="text1"/>
          <w:szCs w:val="22"/>
          <w:u w:val="single"/>
        </w:rPr>
        <w:t>Green M</w:t>
      </w:r>
      <w:r w:rsidRPr="00E3618B">
        <w:rPr>
          <w:color w:val="000000" w:themeColor="text1"/>
          <w:szCs w:val="22"/>
          <w:u w:val="single"/>
        </w:rPr>
        <w:t>ethanol</w:t>
      </w:r>
      <w:r w:rsidRPr="00E3618B">
        <w:rPr>
          <w:color w:val="000000" w:themeColor="text1"/>
          <w:szCs w:val="22"/>
        </w:rPr>
        <w:t>: equivalent to US$[…] per tonne of methanol consumed by the ship,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energy density ratio by mass compared to diesel/gas oil of […] per cent</w:t>
      </w:r>
    </w:p>
    <w:p w14:paraId="06870C02" w14:textId="77777777" w:rsidR="0051485E" w:rsidRPr="00E3618B" w:rsidRDefault="0051485E" w:rsidP="0051485E">
      <w:pPr>
        <w:rPr>
          <w:color w:val="000000" w:themeColor="text1"/>
          <w:szCs w:val="22"/>
        </w:rPr>
      </w:pPr>
    </w:p>
    <w:p w14:paraId="05E44BDF" w14:textId="77777777" w:rsidR="0051485E" w:rsidRPr="00E3618B" w:rsidRDefault="0051485E" w:rsidP="0051485E">
      <w:pPr>
        <w:ind w:left="851"/>
        <w:rPr>
          <w:color w:val="000000" w:themeColor="text1"/>
          <w:szCs w:val="22"/>
        </w:rPr>
      </w:pPr>
      <w:r w:rsidRPr="00E3618B">
        <w:rPr>
          <w:color w:val="000000" w:themeColor="text1"/>
          <w:szCs w:val="22"/>
          <w:u w:val="single"/>
        </w:rPr>
        <w:t xml:space="preserve">For </w:t>
      </w:r>
      <w:r>
        <w:rPr>
          <w:color w:val="000000" w:themeColor="text1"/>
          <w:szCs w:val="22"/>
          <w:u w:val="single"/>
        </w:rPr>
        <w:t>Green A</w:t>
      </w:r>
      <w:r w:rsidRPr="00E3618B">
        <w:rPr>
          <w:color w:val="000000" w:themeColor="text1"/>
          <w:szCs w:val="22"/>
          <w:u w:val="single"/>
        </w:rPr>
        <w:t>mmonia</w:t>
      </w:r>
      <w:r w:rsidRPr="00E3618B">
        <w:rPr>
          <w:color w:val="000000" w:themeColor="text1"/>
          <w:szCs w:val="22"/>
        </w:rPr>
        <w:t>: equivalent to US$[…] per tonne of ammonia consumed by the ship,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 xml:space="preserve">energy density ratio by mass compared to diesel/gas oil of […] per cent </w:t>
      </w:r>
    </w:p>
    <w:p w14:paraId="223F64C2" w14:textId="77777777" w:rsidR="0051485E" w:rsidRPr="00E3618B" w:rsidRDefault="0051485E" w:rsidP="0051485E">
      <w:pPr>
        <w:ind w:left="851"/>
        <w:rPr>
          <w:color w:val="000000" w:themeColor="text1"/>
          <w:szCs w:val="22"/>
        </w:rPr>
      </w:pPr>
    </w:p>
    <w:p w14:paraId="75092989" w14:textId="77777777" w:rsidR="0051485E" w:rsidRPr="00E3618B" w:rsidRDefault="0051485E" w:rsidP="0051485E">
      <w:pPr>
        <w:ind w:left="851"/>
        <w:rPr>
          <w:color w:val="000000" w:themeColor="text1"/>
          <w:szCs w:val="22"/>
        </w:rPr>
      </w:pPr>
      <w:r w:rsidRPr="00E3618B">
        <w:rPr>
          <w:color w:val="000000" w:themeColor="text1"/>
          <w:szCs w:val="22"/>
          <w:u w:val="single"/>
        </w:rPr>
        <w:t xml:space="preserve">For </w:t>
      </w:r>
      <w:r>
        <w:rPr>
          <w:color w:val="000000" w:themeColor="text1"/>
          <w:szCs w:val="22"/>
          <w:u w:val="single"/>
        </w:rPr>
        <w:t>Green H</w:t>
      </w:r>
      <w:r w:rsidRPr="00E3618B">
        <w:rPr>
          <w:color w:val="000000" w:themeColor="text1"/>
          <w:szCs w:val="22"/>
          <w:u w:val="single"/>
        </w:rPr>
        <w:t>ydrogen</w:t>
      </w:r>
      <w:r w:rsidRPr="00E3618B">
        <w:rPr>
          <w:color w:val="000000" w:themeColor="text1"/>
          <w:szCs w:val="22"/>
        </w:rPr>
        <w:t>: equivalent to US$[…] per tonne of hydrogen consumed by the ship, based on a CO</w:t>
      </w:r>
      <w:r w:rsidRPr="00E3618B">
        <w:rPr>
          <w:color w:val="000000" w:themeColor="text1"/>
          <w:szCs w:val="22"/>
          <w:vertAlign w:val="subscript"/>
        </w:rPr>
        <w:t>2</w:t>
      </w:r>
      <w:r w:rsidRPr="00E3618B">
        <w:rPr>
          <w:color w:val="000000" w:themeColor="text1"/>
          <w:szCs w:val="22"/>
        </w:rPr>
        <w:t xml:space="preserve">e conversion factor of […] and an </w:t>
      </w:r>
      <w:r w:rsidRPr="00E3618B">
        <w:rPr>
          <w:color w:val="000000" w:themeColor="text1"/>
          <w:szCs w:val="22"/>
          <w:lang w:eastAsia="ja-JP"/>
        </w:rPr>
        <w:t xml:space="preserve">energy density ratio by mass compared to diesel/gas oil of […] per cent </w:t>
      </w:r>
    </w:p>
    <w:p w14:paraId="7B8B5C69" w14:textId="77777777" w:rsidR="0051485E" w:rsidRPr="00E3618B" w:rsidRDefault="0051485E" w:rsidP="0051485E">
      <w:pPr>
        <w:ind w:left="851"/>
        <w:rPr>
          <w:color w:val="000000" w:themeColor="text1"/>
          <w:szCs w:val="22"/>
        </w:rPr>
      </w:pPr>
    </w:p>
    <w:p w14:paraId="2C651ADC" w14:textId="77777777" w:rsidR="0051485E" w:rsidRPr="00E3618B" w:rsidRDefault="0051485E" w:rsidP="0051485E">
      <w:pPr>
        <w:ind w:left="851"/>
        <w:rPr>
          <w:color w:val="000000" w:themeColor="text1"/>
          <w:szCs w:val="22"/>
          <w:u w:val="single"/>
        </w:rPr>
      </w:pPr>
      <w:r w:rsidRPr="00E3618B">
        <w:rPr>
          <w:color w:val="000000" w:themeColor="text1"/>
          <w:szCs w:val="22"/>
          <w:u w:val="single"/>
        </w:rPr>
        <w:t xml:space="preserve">For </w:t>
      </w:r>
      <w:r>
        <w:rPr>
          <w:color w:val="000000" w:themeColor="text1"/>
          <w:szCs w:val="22"/>
          <w:u w:val="single"/>
        </w:rPr>
        <w:t>C</w:t>
      </w:r>
      <w:r w:rsidRPr="00E3618B">
        <w:rPr>
          <w:color w:val="000000" w:themeColor="text1"/>
          <w:szCs w:val="22"/>
          <w:u w:val="single"/>
        </w:rPr>
        <w:t xml:space="preserve">arbon </w:t>
      </w:r>
      <w:r>
        <w:rPr>
          <w:color w:val="000000" w:themeColor="text1"/>
          <w:szCs w:val="22"/>
          <w:u w:val="single"/>
        </w:rPr>
        <w:t>C</w:t>
      </w:r>
      <w:r w:rsidRPr="00E3618B">
        <w:rPr>
          <w:color w:val="000000" w:themeColor="text1"/>
          <w:szCs w:val="22"/>
          <w:u w:val="single"/>
        </w:rPr>
        <w:t>apture:</w:t>
      </w:r>
      <w:r w:rsidRPr="00E3618B">
        <w:rPr>
          <w:color w:val="000000" w:themeColor="text1"/>
          <w:szCs w:val="22"/>
        </w:rPr>
        <w:t xml:space="preserve"> equivalent to US$[…] [Methodology for calculating CO</w:t>
      </w:r>
      <w:r w:rsidRPr="00E3618B">
        <w:rPr>
          <w:color w:val="000000" w:themeColor="text1"/>
          <w:szCs w:val="22"/>
          <w:vertAlign w:val="subscript"/>
        </w:rPr>
        <w:t>2</w:t>
      </w:r>
      <w:r w:rsidRPr="00E3618B">
        <w:rPr>
          <w:color w:val="000000" w:themeColor="text1"/>
          <w:szCs w:val="22"/>
        </w:rPr>
        <w:t>e emissions prevented to be developed.]</w:t>
      </w:r>
    </w:p>
    <w:p w14:paraId="3DC4475C" w14:textId="77777777" w:rsidR="0051485E" w:rsidRPr="00E3618B" w:rsidRDefault="0051485E" w:rsidP="0051485E">
      <w:pPr>
        <w:tabs>
          <w:tab w:val="clear" w:pos="851"/>
        </w:tabs>
        <w:rPr>
          <w:color w:val="000000" w:themeColor="text1"/>
        </w:rPr>
      </w:pPr>
    </w:p>
    <w:p w14:paraId="2DF25B4E" w14:textId="77777777" w:rsidR="0051485E" w:rsidRPr="00E3618B" w:rsidRDefault="0051485E" w:rsidP="0051485E">
      <w:pPr>
        <w:tabs>
          <w:tab w:val="clear" w:pos="851"/>
        </w:tabs>
        <w:rPr>
          <w:color w:val="000000" w:themeColor="text1"/>
        </w:rPr>
      </w:pPr>
    </w:p>
    <w:p w14:paraId="45A592BB" w14:textId="77777777" w:rsidR="0051485E" w:rsidRPr="00E3618B" w:rsidRDefault="0051485E" w:rsidP="0051485E">
      <w:pPr>
        <w:tabs>
          <w:tab w:val="clear" w:pos="851"/>
        </w:tabs>
        <w:jc w:val="center"/>
        <w:rPr>
          <w:color w:val="000000" w:themeColor="text1"/>
        </w:rPr>
      </w:pPr>
      <w:r w:rsidRPr="00E3618B">
        <w:rPr>
          <w:color w:val="000000" w:themeColor="text1"/>
        </w:rPr>
        <w:t>__________</w:t>
      </w:r>
    </w:p>
    <w:p w14:paraId="3C20DCFC" w14:textId="53CA8FFB" w:rsidR="008C0AB8" w:rsidRDefault="008C0AB8">
      <w:pPr>
        <w:tabs>
          <w:tab w:val="clear" w:pos="851"/>
        </w:tabs>
        <w:jc w:val="left"/>
      </w:pPr>
    </w:p>
    <w:p w14:paraId="291258F7" w14:textId="77777777" w:rsidR="008C0AB8" w:rsidRDefault="008C0AB8">
      <w:pPr>
        <w:tabs>
          <w:tab w:val="clear" w:pos="851"/>
        </w:tabs>
        <w:jc w:val="left"/>
      </w:pPr>
    </w:p>
    <w:sectPr w:rsidR="008C0AB8" w:rsidSect="0051485E">
      <w:headerReference w:type="even" r:id="rId25"/>
      <w:headerReference w:type="default" r:id="rId26"/>
      <w:headerReference w:type="first" r:id="rId27"/>
      <w:footerReference w:type="first" r:id="rId28"/>
      <w:type w:val="continuous"/>
      <w:pgSz w:w="11906" w:h="16838" w:code="9"/>
      <w:pgMar w:top="1134" w:right="1418" w:bottom="1418" w:left="1418"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B3C0B" w14:textId="77777777" w:rsidR="0045775C" w:rsidRDefault="0045775C">
      <w:r>
        <w:separator/>
      </w:r>
    </w:p>
  </w:endnote>
  <w:endnote w:type="continuationSeparator" w:id="0">
    <w:p w14:paraId="4ABFD6A9" w14:textId="77777777" w:rsidR="0045775C" w:rsidRDefault="0045775C">
      <w:r>
        <w:continuationSeparator/>
      </w:r>
    </w:p>
  </w:endnote>
  <w:endnote w:type="continuationNotice" w:id="1">
    <w:p w14:paraId="207854DD" w14:textId="77777777" w:rsidR="0045775C" w:rsidRDefault="00457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DD08" w14:textId="5E8F63AA" w:rsidR="00C97D3A" w:rsidRPr="000D08F2" w:rsidRDefault="00C97D3A" w:rsidP="00736183">
    <w:pPr>
      <w:pStyle w:val="Footer"/>
      <w:pBdr>
        <w:top w:val="single" w:sz="4" w:space="1" w:color="auto"/>
      </w:pBdr>
    </w:pPr>
    <w:r>
      <w:t>ISWG-GHG 17/2/XX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0BEE" w14:textId="5441687A" w:rsidR="00C97D3A" w:rsidRPr="000D08F2" w:rsidRDefault="00C97D3A" w:rsidP="00736183">
    <w:pPr>
      <w:pStyle w:val="Footer"/>
      <w:pBdr>
        <w:top w:val="single" w:sz="4" w:space="1" w:color="auto"/>
      </w:pBdr>
    </w:pPr>
    <w:r>
      <w:t>ISWG-GHG 17/2/XX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7395" w14:textId="3129F7B8" w:rsidR="00C97D3A" w:rsidRDefault="00C97D3A" w:rsidP="00E51421">
    <w:pPr>
      <w:pStyle w:val="Footer"/>
      <w:pBdr>
        <w:top w:val="single" w:sz="4" w:space="1" w:color="auto"/>
      </w:pBdr>
      <w:rPr>
        <w:szCs w:val="18"/>
        <w:lang w:val="en-US"/>
      </w:rPr>
    </w:pPr>
    <w:bookmarkStart w:id="13" w:name="_Hlk30152152"/>
    <w:r>
      <w:rPr>
        <w:noProof/>
        <w:szCs w:val="18"/>
        <w:lang w:val="en-US"/>
      </w:rPr>
      <w:drawing>
        <wp:anchor distT="0" distB="0" distL="114300" distR="114300" simplePos="0" relativeHeight="251660288" behindDoc="0" locked="0" layoutInCell="1" allowOverlap="1" wp14:anchorId="1B3E339E" wp14:editId="7534F5C5">
          <wp:simplePos x="0" y="0"/>
          <wp:positionH relativeFrom="column">
            <wp:posOffset>4317365</wp:posOffset>
          </wp:positionH>
          <wp:positionV relativeFrom="bottomMargin">
            <wp:posOffset>138006</wp:posOffset>
          </wp:positionV>
          <wp:extent cx="1439545" cy="719455"/>
          <wp:effectExtent l="0" t="0" r="8255" b="0"/>
          <wp:wrapNone/>
          <wp:docPr id="519844877" name="Picture 1" descr="A blue and orange shiel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77180" name="Picture 1" descr="A blue and orange shiel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719455"/>
                  </a:xfrm>
                  <a:prstGeom prst="rect">
                    <a:avLst/>
                  </a:prstGeom>
                </pic:spPr>
              </pic:pic>
            </a:graphicData>
          </a:graphic>
          <wp14:sizeRelH relativeFrom="margin">
            <wp14:pctWidth>0</wp14:pctWidth>
          </wp14:sizeRelH>
          <wp14:sizeRelV relativeFrom="margin">
            <wp14:pctHeight>0</wp14:pctHeight>
          </wp14:sizeRelV>
        </wp:anchor>
      </w:drawing>
    </w:r>
    <w:bookmarkEnd w:id="13"/>
    <w:r>
      <w:rPr>
        <w:szCs w:val="18"/>
        <w:lang w:val="en-US"/>
      </w:rPr>
      <w:t xml:space="preserve">ISWG-GHG 17/2/XX </w:t>
    </w:r>
  </w:p>
  <w:p w14:paraId="5170FA54" w14:textId="7ED7651C" w:rsidR="00C97D3A" w:rsidRDefault="00C97D3A" w:rsidP="00E51421">
    <w:pPr>
      <w:pStyle w:val="Footer"/>
      <w:pBdr>
        <w:top w:val="single" w:sz="4" w:space="1" w:color="auto"/>
      </w:pBdr>
      <w:rPr>
        <w:szCs w:val="18"/>
        <w:lang w:val="en-US"/>
      </w:rPr>
    </w:pPr>
  </w:p>
  <w:p w14:paraId="2C887906" w14:textId="77777777" w:rsidR="00C97D3A" w:rsidRDefault="00C97D3A" w:rsidP="00E51421">
    <w:pPr>
      <w:pStyle w:val="Footer"/>
      <w:pBdr>
        <w:top w:val="single" w:sz="4" w:space="1" w:color="auto"/>
      </w:pBdr>
      <w:rPr>
        <w:szCs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D16E" w14:textId="77777777" w:rsidR="00C97D3A" w:rsidRPr="00957D9E" w:rsidRDefault="00C97D3A" w:rsidP="005E1512">
    <w:pPr>
      <w:pStyle w:val="Footer"/>
      <w:rPr>
        <w:szCs w:val="18"/>
      </w:rPr>
    </w:pPr>
  </w:p>
  <w:p w14:paraId="06B42309" w14:textId="64B67641" w:rsidR="00C97D3A" w:rsidRDefault="00C97D3A" w:rsidP="00E51421">
    <w:pPr>
      <w:pStyle w:val="Footer"/>
      <w:pBdr>
        <w:top w:val="single" w:sz="4" w:space="1" w:color="auto"/>
      </w:pBdr>
      <w:rPr>
        <w:szCs w:val="18"/>
        <w:lang w:val="en-US"/>
      </w:rPr>
    </w:pPr>
    <w:r w:rsidRPr="00957D9E">
      <w:rPr>
        <w:szCs w:val="18"/>
        <w:lang w:val="en-US"/>
      </w:rPr>
      <w:fldChar w:fldCharType="begin"/>
    </w:r>
    <w:r w:rsidRPr="00957D9E">
      <w:rPr>
        <w:szCs w:val="18"/>
        <w:lang w:val="en-US"/>
      </w:rPr>
      <w:instrText xml:space="preserve"> FILENAME   \* MERGEFORMAT </w:instrText>
    </w:r>
    <w:r w:rsidRPr="00957D9E">
      <w:rPr>
        <w:szCs w:val="18"/>
        <w:lang w:val="en-US"/>
      </w:rPr>
      <w:fldChar w:fldCharType="separate"/>
    </w:r>
    <w:r>
      <w:rPr>
        <w:noProof/>
        <w:szCs w:val="18"/>
        <w:lang w:val="en-US"/>
      </w:rPr>
      <w:t>BOARD(24))24- Annex A - ISWG-GHG 17-2-XX  5 August FINAL DRAFT- clean [1].docx</w:t>
    </w:r>
    <w:r w:rsidRPr="00957D9E">
      <w:rPr>
        <w:szCs w:val="18"/>
        <w:lang w:val="en-US"/>
      </w:rPr>
      <w:fldChar w:fldCharType="end"/>
    </w:r>
  </w:p>
  <w:p w14:paraId="47B0BAFB" w14:textId="77777777" w:rsidR="00C97D3A" w:rsidRDefault="00C97D3A" w:rsidP="00E51421">
    <w:pPr>
      <w:pStyle w:val="Footer"/>
      <w:pBdr>
        <w:top w:val="single" w:sz="4" w:space="1" w:color="auto"/>
      </w:pBdr>
      <w:rPr>
        <w:szCs w:val="18"/>
        <w:lang w:val="en-US"/>
      </w:rPr>
    </w:pPr>
  </w:p>
  <w:p w14:paraId="6201F730" w14:textId="77777777" w:rsidR="00C97D3A" w:rsidRDefault="00C97D3A" w:rsidP="00E51421">
    <w:pPr>
      <w:pStyle w:val="Footer"/>
      <w:pBdr>
        <w:top w:val="single" w:sz="4" w:space="1" w:color="auto"/>
      </w:pBdr>
      <w:rPr>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F683" w14:textId="77777777" w:rsidR="0045775C" w:rsidRDefault="0045775C">
      <w:r>
        <w:separator/>
      </w:r>
    </w:p>
  </w:footnote>
  <w:footnote w:type="continuationSeparator" w:id="0">
    <w:p w14:paraId="45155A9D" w14:textId="77777777" w:rsidR="0045775C" w:rsidRDefault="0045775C">
      <w:r>
        <w:continuationSeparator/>
      </w:r>
    </w:p>
  </w:footnote>
  <w:footnote w:type="continuationNotice" w:id="1">
    <w:p w14:paraId="06BDD753" w14:textId="77777777" w:rsidR="0045775C" w:rsidRDefault="0045775C"/>
  </w:footnote>
  <w:footnote w:id="2">
    <w:p w14:paraId="210E23F3" w14:textId="3E51A975" w:rsidR="00C97D3A" w:rsidRPr="00692FA1" w:rsidRDefault="00C97D3A" w:rsidP="005077D2">
      <w:pPr>
        <w:tabs>
          <w:tab w:val="clear" w:pos="851"/>
        </w:tabs>
        <w:rPr>
          <w:sz w:val="18"/>
          <w:szCs w:val="18"/>
        </w:rPr>
      </w:pPr>
      <w:r>
        <w:rPr>
          <w:rStyle w:val="FootnoteReference"/>
        </w:rPr>
        <w:footnoteRef/>
      </w:r>
      <w:r>
        <w:t xml:space="preserve"> </w:t>
      </w:r>
      <w:r w:rsidRPr="00692FA1">
        <w:rPr>
          <w:sz w:val="18"/>
          <w:szCs w:val="18"/>
        </w:rPr>
        <w:t>If the reward rate per tonne of CO</w:t>
      </w:r>
      <w:r w:rsidRPr="00692FA1">
        <w:rPr>
          <w:sz w:val="18"/>
          <w:szCs w:val="18"/>
          <w:vertAlign w:val="subscript"/>
        </w:rPr>
        <w:t>2</w:t>
      </w:r>
      <w:r w:rsidRPr="00692FA1">
        <w:rPr>
          <w:sz w:val="18"/>
          <w:szCs w:val="18"/>
        </w:rPr>
        <w:t xml:space="preserve">e prevented by use of eligible zero/near-zero GHG energy sources, rather than </w:t>
      </w:r>
      <w:r>
        <w:rPr>
          <w:sz w:val="18"/>
          <w:szCs w:val="18"/>
        </w:rPr>
        <w:t xml:space="preserve">consumption of </w:t>
      </w:r>
      <w:r w:rsidRPr="00692FA1">
        <w:rPr>
          <w:sz w:val="18"/>
          <w:szCs w:val="18"/>
        </w:rPr>
        <w:t>conventional liquid fuel oil, was set</w:t>
      </w:r>
      <w:r>
        <w:rPr>
          <w:sz w:val="18"/>
          <w:szCs w:val="18"/>
        </w:rPr>
        <w:t>, for example,</w:t>
      </w:r>
      <w:r w:rsidRPr="00692FA1">
        <w:rPr>
          <w:sz w:val="18"/>
          <w:szCs w:val="18"/>
        </w:rPr>
        <w:t xml:space="preserve"> at US$100 on a </w:t>
      </w:r>
      <w:r w:rsidRPr="00692FA1">
        <w:rPr>
          <w:sz w:val="18"/>
          <w:szCs w:val="18"/>
          <w:u w:val="single"/>
        </w:rPr>
        <w:t>WTW basis</w:t>
      </w:r>
      <w:r w:rsidRPr="00692FA1">
        <w:rPr>
          <w:sz w:val="18"/>
          <w:szCs w:val="18"/>
        </w:rPr>
        <w:t xml:space="preserve"> this would actually reduce the cost gap with the latter by about US$4</w:t>
      </w:r>
      <w:r>
        <w:rPr>
          <w:sz w:val="18"/>
          <w:szCs w:val="18"/>
        </w:rPr>
        <w:t>6</w:t>
      </w:r>
      <w:r w:rsidRPr="00692FA1">
        <w:rPr>
          <w:sz w:val="18"/>
          <w:szCs w:val="18"/>
        </w:rPr>
        <w:t xml:space="preserve">0 per tonne of </w:t>
      </w:r>
      <w:r>
        <w:rPr>
          <w:sz w:val="18"/>
          <w:szCs w:val="18"/>
        </w:rPr>
        <w:t xml:space="preserve">eligible </w:t>
      </w:r>
      <w:r w:rsidRPr="00692FA1">
        <w:rPr>
          <w:sz w:val="18"/>
          <w:szCs w:val="18"/>
        </w:rPr>
        <w:t>fuel consumed. This is because it would close the cost gap by US$1</w:t>
      </w:r>
      <w:r>
        <w:rPr>
          <w:sz w:val="18"/>
          <w:szCs w:val="18"/>
        </w:rPr>
        <w:t>00</w:t>
      </w:r>
      <w:r w:rsidRPr="00692FA1">
        <w:rPr>
          <w:sz w:val="18"/>
          <w:szCs w:val="18"/>
        </w:rPr>
        <w:t xml:space="preserve"> x 4.0 (</w:t>
      </w:r>
      <w:r>
        <w:rPr>
          <w:sz w:val="18"/>
          <w:szCs w:val="18"/>
        </w:rPr>
        <w:t xml:space="preserve">4.0 being </w:t>
      </w:r>
      <w:r w:rsidRPr="00692FA1">
        <w:rPr>
          <w:sz w:val="18"/>
          <w:szCs w:val="18"/>
        </w:rPr>
        <w:t>the WTW CO</w:t>
      </w:r>
      <w:r w:rsidRPr="00692FA1">
        <w:rPr>
          <w:sz w:val="18"/>
          <w:szCs w:val="18"/>
          <w:vertAlign w:val="subscript"/>
        </w:rPr>
        <w:t>2</w:t>
      </w:r>
      <w:r w:rsidRPr="00692FA1">
        <w:rPr>
          <w:sz w:val="18"/>
          <w:szCs w:val="18"/>
        </w:rPr>
        <w:t>e conversion factor for conventional liquid fu</w:t>
      </w:r>
      <w:r>
        <w:rPr>
          <w:sz w:val="18"/>
          <w:szCs w:val="18"/>
        </w:rPr>
        <w:t>el oil rather than the TTW conversion factor of about 3.2</w:t>
      </w:r>
      <w:r w:rsidRPr="00692FA1">
        <w:rPr>
          <w:sz w:val="18"/>
          <w:szCs w:val="18"/>
        </w:rPr>
        <w:t xml:space="preserve">) while the cost gap would be further reduced by US$60 per tonne of fuel consumed due </w:t>
      </w:r>
      <w:r>
        <w:rPr>
          <w:sz w:val="18"/>
          <w:szCs w:val="18"/>
        </w:rPr>
        <w:t xml:space="preserve">to </w:t>
      </w:r>
      <w:r w:rsidRPr="00692FA1">
        <w:rPr>
          <w:sz w:val="18"/>
          <w:szCs w:val="18"/>
        </w:rPr>
        <w:t xml:space="preserve">eligible zero/near-zero GHG fuels </w:t>
      </w:r>
      <w:r>
        <w:rPr>
          <w:sz w:val="18"/>
          <w:szCs w:val="18"/>
        </w:rPr>
        <w:t xml:space="preserve">also </w:t>
      </w:r>
      <w:r w:rsidRPr="00692FA1">
        <w:rPr>
          <w:sz w:val="18"/>
          <w:szCs w:val="18"/>
        </w:rPr>
        <w:t>being exempt from GHG fees</w:t>
      </w:r>
      <w:r>
        <w:rPr>
          <w:sz w:val="18"/>
          <w:szCs w:val="18"/>
        </w:rPr>
        <w:t xml:space="preserve"> if these were set, for example, at around US$18.75 per tonne of CO</w:t>
      </w:r>
      <w:r w:rsidRPr="00692FA1">
        <w:rPr>
          <w:sz w:val="18"/>
          <w:szCs w:val="18"/>
          <w:vertAlign w:val="subscript"/>
        </w:rPr>
        <w:t>2</w:t>
      </w:r>
      <w:r>
        <w:rPr>
          <w:sz w:val="18"/>
          <w:szCs w:val="18"/>
        </w:rPr>
        <w:t xml:space="preserve">e emitted. </w:t>
      </w:r>
    </w:p>
    <w:p w14:paraId="23479E4A" w14:textId="3685F127" w:rsidR="00C97D3A" w:rsidRPr="00616B64" w:rsidRDefault="00C97D3A">
      <w:pPr>
        <w:pStyle w:val="FootnoteText"/>
        <w:rPr>
          <w:szCs w:val="18"/>
        </w:rPr>
      </w:pPr>
    </w:p>
  </w:footnote>
  <w:footnote w:id="3">
    <w:p w14:paraId="193BBF81" w14:textId="77777777" w:rsidR="00C97D3A" w:rsidRDefault="00C97D3A" w:rsidP="008C0AB8">
      <w:pPr>
        <w:pStyle w:val="FootnoteText"/>
      </w:pPr>
      <w:r>
        <w:rPr>
          <w:rStyle w:val="FootnoteReference"/>
        </w:rPr>
        <w:footnoteRef/>
      </w:r>
      <w:r>
        <w:t xml:space="preserve"> </w:t>
      </w:r>
      <w:r>
        <w:tab/>
        <w:t xml:space="preserve">In principle, ICS considers the tonnage threshold should be 400 GT, but if agreed on approval of these amendments it is recognised that this would require consequential amendments be made to the DCS (regulation 27 of MARPOL Annex VI) and additional administrative burdens for Member States. </w:t>
      </w:r>
    </w:p>
  </w:footnote>
  <w:footnote w:id="4">
    <w:p w14:paraId="242E759B" w14:textId="13DED33B" w:rsidR="00C97D3A" w:rsidRDefault="00C97D3A" w:rsidP="008C0AB8">
      <w:pPr>
        <w:pStyle w:val="FootnoteText"/>
      </w:pPr>
      <w:r>
        <w:rPr>
          <w:rStyle w:val="FootnoteReference"/>
        </w:rPr>
        <w:footnoteRef/>
      </w:r>
      <w:r>
        <w:t xml:space="preserve"> </w:t>
      </w:r>
      <w:r>
        <w:tab/>
        <w:t>GFI reference value to be calculated on approval of the draft amendments and corresponds to the fleet average greenhouse gas (gCO</w:t>
      </w:r>
      <w:r w:rsidRPr="00CB0CCA">
        <w:rPr>
          <w:vertAlign w:val="subscript"/>
        </w:rPr>
        <w:t>2e</w:t>
      </w:r>
      <w:r>
        <w:t xml:space="preserve">/MJ) intensity of the energy used on board by ships in [2019] determined on the basis of fuel oil consumption data collected and reported pursuant to regulation 27 of MARPOL </w:t>
      </w:r>
      <w:r>
        <w:br/>
        <w:t>Annex VI and using guidelines to be developed by the Organization.</w:t>
      </w:r>
    </w:p>
  </w:footnote>
  <w:footnote w:id="5">
    <w:p w14:paraId="25628890" w14:textId="77777777" w:rsidR="00C97D3A" w:rsidRDefault="00C97D3A" w:rsidP="008C0AB8">
      <w:pPr>
        <w:pStyle w:val="FootnoteText"/>
      </w:pPr>
      <w:r>
        <w:rPr>
          <w:rStyle w:val="FootnoteReference"/>
        </w:rPr>
        <w:footnoteRef/>
      </w:r>
      <w:r>
        <w:t xml:space="preserve"> </w:t>
      </w:r>
      <w:r>
        <w:tab/>
        <w:t xml:space="preserve">GFI given </w:t>
      </w:r>
      <w:r>
        <w:rPr>
          <w:rFonts w:cs="Arial"/>
          <w:color w:val="000000" w:themeColor="text1"/>
          <w:szCs w:val="22"/>
        </w:rPr>
        <w:t>in terms of the mass of GHG emissions per unit of energy used on board the ship</w:t>
      </w:r>
      <w:r>
        <w:t xml:space="preserve"> based on the Guidelines on Life Cycle GHG Intensity of Marine Fuels (LCA guidelines) </w:t>
      </w:r>
      <w:r w:rsidRPr="00914EE0">
        <w:t>MEPC.391(81)</w:t>
      </w:r>
      <w:r>
        <w:t>, as amended.</w:t>
      </w:r>
    </w:p>
  </w:footnote>
  <w:footnote w:id="6">
    <w:p w14:paraId="501DBA34" w14:textId="77777777" w:rsidR="00C97D3A" w:rsidRDefault="00C97D3A" w:rsidP="008C0AB8">
      <w:pPr>
        <w:pStyle w:val="FootnoteText"/>
      </w:pPr>
      <w:r>
        <w:rPr>
          <w:rStyle w:val="FootnoteReference"/>
        </w:rPr>
        <w:footnoteRef/>
      </w:r>
      <w:r>
        <w:t xml:space="preserve"> </w:t>
      </w:r>
      <w:r>
        <w:tab/>
        <w:t>As per the requirements of regulation 18.5 of MARPOL Annex VI, the GHG Fuel Intensity (GFI) of fuel supplied to the ship to be recorded on a Bunker Delivery Note, with consequential amendments required to the provisions of regulations 18.4, 18.5 and Appendix V of MARPOL Annex VI.</w:t>
      </w:r>
    </w:p>
  </w:footnote>
  <w:footnote w:id="7">
    <w:p w14:paraId="1F7D3815" w14:textId="739BC84F" w:rsidR="00C97D3A" w:rsidRPr="00C345D6" w:rsidRDefault="00C97D3A" w:rsidP="008C0AB8">
      <w:pPr>
        <w:pStyle w:val="FootnoteText"/>
        <w:rPr>
          <w:rStyle w:val="FootnoteReference"/>
        </w:rPr>
      </w:pPr>
      <w:r>
        <w:rPr>
          <w:rStyle w:val="FootnoteReference"/>
        </w:rPr>
        <w:footnoteRef/>
      </w:r>
      <w:r>
        <w:t xml:space="preserve"> </w:t>
      </w:r>
      <w:r>
        <w:tab/>
      </w:r>
      <w:bookmarkStart w:id="14" w:name="_Hlk172106927"/>
      <w:r w:rsidRPr="0004738F">
        <w:rPr>
          <w:rFonts w:cs="Arial"/>
          <w:szCs w:val="18"/>
        </w:rPr>
        <w:t>Regulation 4 MARPOL Annex VI (Equivalents)</w:t>
      </w:r>
      <w:r w:rsidRPr="00C345D6">
        <w:rPr>
          <w:rFonts w:cs="Arial"/>
          <w:color w:val="666666"/>
          <w:szCs w:val="18"/>
          <w:shd w:val="clear" w:color="auto" w:fill="FFFFFF"/>
        </w:rPr>
        <w:t xml:space="preserve"> </w:t>
      </w:r>
      <w:r w:rsidRPr="00C345D6">
        <w:rPr>
          <w:rFonts w:cs="Arial"/>
          <w:szCs w:val="18"/>
          <w:shd w:val="clear" w:color="auto" w:fill="FFFFFF"/>
        </w:rPr>
        <w:t>permits Administrations to allow compliance methods with fuel standards that are “at least as effective in terms of emissions reductions as that required by this Annex”.</w:t>
      </w:r>
      <w:bookmarkEnd w:id="14"/>
    </w:p>
  </w:footnote>
  <w:footnote w:id="8">
    <w:p w14:paraId="21DD3348" w14:textId="77777777" w:rsidR="00C97D3A" w:rsidRDefault="00C97D3A" w:rsidP="008C0AB8">
      <w:pPr>
        <w:pStyle w:val="FootnoteText"/>
      </w:pPr>
      <w:r>
        <w:rPr>
          <w:rStyle w:val="FootnoteReference"/>
        </w:rPr>
        <w:footnoteRef/>
      </w:r>
      <w:r>
        <w:t xml:space="preserve"> </w:t>
      </w:r>
      <w:r>
        <w:tab/>
      </w:r>
      <w:r w:rsidRPr="00801006">
        <w:t>Guidelines to be developed based on the 2019 Guidelines for consistent implementation of the 0.50% sulphur limit under MARPOL Annex VI (resolution MEPC.320(74)), including pro-forma fuel oil non-availability report (FONAR).</w:t>
      </w:r>
    </w:p>
  </w:footnote>
  <w:footnote w:id="9">
    <w:p w14:paraId="3E0506BB" w14:textId="79748719" w:rsidR="00C97D3A" w:rsidRDefault="00C97D3A" w:rsidP="008C0AB8">
      <w:pPr>
        <w:pStyle w:val="FootnoteText"/>
      </w:pPr>
      <w:r>
        <w:rPr>
          <w:rStyle w:val="FootnoteReference"/>
        </w:rPr>
        <w:footnoteRef/>
      </w:r>
      <w:r>
        <w:t xml:space="preserve"> </w:t>
      </w:r>
      <w:r>
        <w:tab/>
        <w:t>The GHG Surcharge Fee is a product of the CO</w:t>
      </w:r>
      <w:r w:rsidRPr="00907922">
        <w:rPr>
          <w:vertAlign w:val="subscript"/>
        </w:rPr>
        <w:t>2</w:t>
      </w:r>
      <w:r>
        <w:t>e emissions in excess of the Required GFI and a percentage of the “GHG fee”, the “GHG fee” being required to be paid for all CO</w:t>
      </w:r>
      <w:r w:rsidRPr="00907922">
        <w:rPr>
          <w:vertAlign w:val="subscript"/>
        </w:rPr>
        <w:t>2</w:t>
      </w:r>
      <w:r>
        <w:t xml:space="preserve">e emissions by the ship. </w:t>
      </w:r>
    </w:p>
  </w:footnote>
  <w:footnote w:id="10">
    <w:p w14:paraId="61E008E7" w14:textId="4B7A0862" w:rsidR="00C97D3A" w:rsidRDefault="00C97D3A" w:rsidP="008C0AB8">
      <w:pPr>
        <w:pStyle w:val="FootnoteText"/>
      </w:pPr>
      <w:r>
        <w:rPr>
          <w:rStyle w:val="FootnoteReference"/>
        </w:rPr>
        <w:footnoteRef/>
      </w:r>
      <w:r>
        <w:t xml:space="preserve"> </w:t>
      </w:r>
      <w:r>
        <w:tab/>
        <w:t xml:space="preserve">“GHG fee” as may be specified in regulation </w:t>
      </w:r>
      <w:r>
        <w:rPr>
          <w:color w:val="000000" w:themeColor="text1"/>
        </w:rPr>
        <w:t>40</w:t>
      </w:r>
      <w:r w:rsidRPr="00E3618B">
        <w:rPr>
          <w:color w:val="000000" w:themeColor="text1"/>
        </w:rPr>
        <w:t>.</w:t>
      </w:r>
      <w:r>
        <w:rPr>
          <w:color w:val="000000" w:themeColor="text1"/>
        </w:rPr>
        <w:t>4</w:t>
      </w:r>
      <w:r w:rsidRPr="00E3618B">
        <w:rPr>
          <w:color w:val="000000" w:themeColor="text1"/>
        </w:rPr>
        <w:t xml:space="preserve"> </w:t>
      </w:r>
      <w:r>
        <w:t>of this Annex. US$18.75 is an illustrative example only.</w:t>
      </w:r>
    </w:p>
  </w:footnote>
  <w:footnote w:id="11">
    <w:p w14:paraId="6AC25F01" w14:textId="77777777" w:rsidR="00C97D3A" w:rsidRDefault="00C97D3A" w:rsidP="008C0AB8">
      <w:pPr>
        <w:pStyle w:val="FootnoteText"/>
      </w:pPr>
      <w:r>
        <w:rPr>
          <w:rStyle w:val="FootnoteReference"/>
        </w:rPr>
        <w:footnoteRef/>
      </w:r>
      <w:r>
        <w:t xml:space="preserve"> </w:t>
      </w:r>
      <w:r>
        <w:tab/>
        <w:t xml:space="preserve">MEPC.348(78) </w:t>
      </w:r>
      <w:r w:rsidRPr="00915C03">
        <w:t>2022 Guidelines for Administration verification of ship fuel oil consumption data and operational carbon intensity</w:t>
      </w:r>
      <w:r>
        <w:t>, as amended by resolution MEPC.389(81)</w:t>
      </w:r>
    </w:p>
  </w:footnote>
  <w:footnote w:id="12">
    <w:p w14:paraId="3DC3A871" w14:textId="77777777" w:rsidR="00C97D3A" w:rsidRDefault="00C97D3A" w:rsidP="008C0AB8">
      <w:pPr>
        <w:pStyle w:val="FootnoteText"/>
      </w:pPr>
      <w:r>
        <w:rPr>
          <w:rStyle w:val="FootnoteReference"/>
        </w:rPr>
        <w:footnoteRef/>
      </w:r>
      <w:r>
        <w:tab/>
        <w:t>Energy pooling compliance mechanism guidelines for Administrations to be developed which could be a standalone set of guidelines or incorporated in the SEEMP Guidelines. This can be done after approval of this chapter.</w:t>
      </w:r>
    </w:p>
  </w:footnote>
  <w:footnote w:id="13">
    <w:p w14:paraId="1621D34A" w14:textId="77777777" w:rsidR="00C97D3A" w:rsidRDefault="00C97D3A" w:rsidP="008C0AB8">
      <w:pPr>
        <w:pStyle w:val="FootnoteText"/>
      </w:pPr>
      <w:r>
        <w:rPr>
          <w:rStyle w:val="FootnoteReference"/>
        </w:rPr>
        <w:footnoteRef/>
      </w:r>
      <w:r>
        <w:t xml:space="preserve"> </w:t>
      </w:r>
      <w:r>
        <w:tab/>
        <w:t xml:space="preserve">Form of the Pooled Energy Intensity Compliance Certificate (PEICC) to be developed. This can be done after approval of this chapter. </w:t>
      </w:r>
    </w:p>
  </w:footnote>
  <w:footnote w:id="14">
    <w:p w14:paraId="2AB3885D" w14:textId="77777777" w:rsidR="00C97D3A" w:rsidRDefault="00C97D3A" w:rsidP="008C0AB8">
      <w:pPr>
        <w:pStyle w:val="FootnoteText"/>
      </w:pPr>
      <w:r>
        <w:rPr>
          <w:rStyle w:val="FootnoteReference"/>
        </w:rPr>
        <w:footnoteRef/>
      </w:r>
      <w:r>
        <w:t xml:space="preserve"> </w:t>
      </w:r>
      <w:r>
        <w:tab/>
        <w:t>Energy pooling compliance mechanism guidelines for ships to be developed which could be a standalone set of guidelines or incorporated in the SEEMP Guidelines. This can be done after approval of this chapter.</w:t>
      </w:r>
    </w:p>
  </w:footnote>
  <w:footnote w:id="15">
    <w:p w14:paraId="44832064" w14:textId="77777777" w:rsidR="00C97D3A" w:rsidRDefault="00C97D3A" w:rsidP="008C0AB8">
      <w:pPr>
        <w:pStyle w:val="FootnoteText"/>
      </w:pPr>
      <w:r>
        <w:rPr>
          <w:rStyle w:val="FootnoteReference"/>
        </w:rPr>
        <w:footnoteRef/>
      </w:r>
      <w:r>
        <w:t xml:space="preserve"> </w:t>
      </w:r>
      <w:r>
        <w:tab/>
        <w:t xml:space="preserve">This provision to be expanded on in the guidelines for Administrations MEPC.348(78) </w:t>
      </w:r>
      <w:r w:rsidRPr="00915C03">
        <w:t>2022 Guidelines for Administration verification of ship fuel oil consumption data and operational carbon intensity</w:t>
      </w:r>
      <w:r>
        <w:t>, as amended by resolution MEPC.389(81).</w:t>
      </w:r>
    </w:p>
  </w:footnote>
  <w:footnote w:id="16">
    <w:p w14:paraId="757E768A" w14:textId="77777777" w:rsidR="00C97D3A" w:rsidRDefault="00C97D3A" w:rsidP="008C0AB8">
      <w:pPr>
        <w:pStyle w:val="FootnoteText"/>
        <w:jc w:val="left"/>
      </w:pPr>
      <w:r>
        <w:rPr>
          <w:rStyle w:val="FootnoteReference"/>
        </w:rPr>
        <w:footnoteRef/>
      </w:r>
      <w:r>
        <w:t xml:space="preserve"> </w:t>
      </w:r>
      <w:r>
        <w:tab/>
        <w:t>By MEPC resolution adopted at the time of adoption of these amendments. Draft Annex to resolution is set out in annex to this document.</w:t>
      </w:r>
    </w:p>
  </w:footnote>
  <w:footnote w:id="17">
    <w:p w14:paraId="6AEEB446" w14:textId="77777777" w:rsidR="00C97D3A" w:rsidRDefault="00C97D3A" w:rsidP="00533C82">
      <w:pPr>
        <w:pStyle w:val="FootnoteText"/>
      </w:pPr>
      <w:r>
        <w:rPr>
          <w:rStyle w:val="FootnoteReference"/>
        </w:rPr>
        <w:footnoteRef/>
      </w:r>
      <w:r>
        <w:t xml:space="preserve"> </w:t>
      </w:r>
      <w:r>
        <w:tab/>
        <w:t>This provision is to ensure that the GHG fee will not be subject to UK VAT as no service is provided by IMO.</w:t>
      </w:r>
    </w:p>
  </w:footnote>
  <w:footnote w:id="18">
    <w:p w14:paraId="0F9680A6" w14:textId="089DFE04" w:rsidR="00C97D3A" w:rsidRDefault="00C97D3A" w:rsidP="008C0AB8">
      <w:pPr>
        <w:pStyle w:val="FootnoteText"/>
      </w:pPr>
      <w:r>
        <w:rPr>
          <w:rStyle w:val="FootnoteReference"/>
        </w:rPr>
        <w:footnoteRef/>
      </w:r>
      <w:r>
        <w:t xml:space="preserve"> </w:t>
      </w:r>
      <w:r>
        <w:tab/>
        <w:t>Assuming that for the initial 5 years of implementation, and a 5,000 GT threshold, that about 250 million tonnes per year of conventional fuel oil (800 million tonnes of CO</w:t>
      </w:r>
      <w:r w:rsidRPr="0053695D">
        <w:rPr>
          <w:vertAlign w:val="subscript"/>
        </w:rPr>
        <w:t>2</w:t>
      </w:r>
      <w:r>
        <w:t>e) is subject to GHG fees, r</w:t>
      </w:r>
      <w:r w:rsidRPr="00027109">
        <w:t xml:space="preserve">ead in combination with regulation </w:t>
      </w:r>
      <w:r>
        <w:rPr>
          <w:color w:val="000000" w:themeColor="text1"/>
        </w:rPr>
        <w:t>40</w:t>
      </w:r>
      <w:r w:rsidRPr="00E3618B">
        <w:rPr>
          <w:color w:val="000000" w:themeColor="text1"/>
        </w:rPr>
        <w:t>.</w:t>
      </w:r>
      <w:r>
        <w:rPr>
          <w:color w:val="000000" w:themeColor="text1"/>
        </w:rPr>
        <w:t>3</w:t>
      </w:r>
      <w:r w:rsidRPr="00E3618B">
        <w:rPr>
          <w:color w:val="000000" w:themeColor="text1"/>
        </w:rPr>
        <w:t xml:space="preserve"> </w:t>
      </w:r>
      <w:r>
        <w:rPr>
          <w:color w:val="000000" w:themeColor="text1"/>
        </w:rPr>
        <w:t>(</w:t>
      </w:r>
      <w:r w:rsidRPr="00E3618B">
        <w:rPr>
          <w:color w:val="000000" w:themeColor="text1"/>
        </w:rPr>
        <w:t>concerning the need for total GHG fees to be adequate to provide feebates for the prevention of up to 100 million tonnes of CO</w:t>
      </w:r>
      <w:r w:rsidRPr="00E3618B">
        <w:rPr>
          <w:color w:val="000000" w:themeColor="text1"/>
          <w:vertAlign w:val="subscript"/>
        </w:rPr>
        <w:t>2</w:t>
      </w:r>
      <w:r w:rsidRPr="00E3618B">
        <w:rPr>
          <w:color w:val="000000" w:themeColor="text1"/>
        </w:rPr>
        <w:t>e per year</w:t>
      </w:r>
      <w:r>
        <w:rPr>
          <w:color w:val="000000" w:themeColor="text1"/>
        </w:rPr>
        <w:t>),</w:t>
      </w:r>
      <w:r w:rsidRPr="00E3618B">
        <w:rPr>
          <w:color w:val="000000" w:themeColor="text1"/>
        </w:rPr>
        <w:t xml:space="preserve"> the GHG fee of [US$</w:t>
      </w:r>
      <w:r>
        <w:rPr>
          <w:color w:val="000000" w:themeColor="text1"/>
        </w:rPr>
        <w:t>18.75</w:t>
      </w:r>
      <w:r w:rsidRPr="00E3618B">
        <w:rPr>
          <w:color w:val="000000" w:themeColor="text1"/>
        </w:rPr>
        <w:t>] per tonne of CO</w:t>
      </w:r>
      <w:r w:rsidRPr="00342882">
        <w:rPr>
          <w:color w:val="000000" w:themeColor="text1"/>
          <w:vertAlign w:val="subscript"/>
        </w:rPr>
        <w:t>2</w:t>
      </w:r>
      <w:r w:rsidRPr="00E3618B">
        <w:rPr>
          <w:color w:val="000000" w:themeColor="text1"/>
        </w:rPr>
        <w:t xml:space="preserve">e suggested in regulation </w:t>
      </w:r>
      <w:r>
        <w:rPr>
          <w:color w:val="000000" w:themeColor="text1"/>
        </w:rPr>
        <w:t>40</w:t>
      </w:r>
      <w:r w:rsidRPr="00E3618B">
        <w:rPr>
          <w:color w:val="000000" w:themeColor="text1"/>
        </w:rPr>
        <w:t>.</w:t>
      </w:r>
      <w:r>
        <w:rPr>
          <w:color w:val="000000" w:themeColor="text1"/>
        </w:rPr>
        <w:t>4</w:t>
      </w:r>
      <w:r w:rsidRPr="00E3618B">
        <w:rPr>
          <w:color w:val="000000" w:themeColor="text1"/>
        </w:rPr>
        <w:t xml:space="preserve">, and the feebate rate of </w:t>
      </w:r>
      <w:r>
        <w:rPr>
          <w:color w:val="000000" w:themeColor="text1"/>
        </w:rPr>
        <w:t>[</w:t>
      </w:r>
      <w:r w:rsidRPr="00E3618B">
        <w:rPr>
          <w:color w:val="000000" w:themeColor="text1"/>
        </w:rPr>
        <w:t>US$100</w:t>
      </w:r>
      <w:r>
        <w:rPr>
          <w:color w:val="000000" w:themeColor="text1"/>
        </w:rPr>
        <w:t xml:space="preserve">] </w:t>
      </w:r>
      <w:r w:rsidRPr="00E3618B">
        <w:rPr>
          <w:color w:val="000000" w:themeColor="text1"/>
        </w:rPr>
        <w:t>per tonne of CO</w:t>
      </w:r>
      <w:r w:rsidRPr="00E3618B">
        <w:rPr>
          <w:color w:val="000000" w:themeColor="text1"/>
          <w:vertAlign w:val="subscript"/>
        </w:rPr>
        <w:t>2</w:t>
      </w:r>
      <w:r w:rsidRPr="00E3618B">
        <w:rPr>
          <w:color w:val="000000" w:themeColor="text1"/>
        </w:rPr>
        <w:t xml:space="preserve">e prevented </w:t>
      </w:r>
      <w:r>
        <w:rPr>
          <w:color w:val="000000" w:themeColor="text1"/>
        </w:rPr>
        <w:t xml:space="preserve">on a WTW basis </w:t>
      </w:r>
      <w:r w:rsidRPr="00E3618B">
        <w:rPr>
          <w:color w:val="000000" w:themeColor="text1"/>
        </w:rPr>
        <w:t xml:space="preserve">suggested in regulation </w:t>
      </w:r>
      <w:r>
        <w:rPr>
          <w:color w:val="000000" w:themeColor="text1"/>
        </w:rPr>
        <w:t>41</w:t>
      </w:r>
      <w:r w:rsidRPr="00E3618B">
        <w:rPr>
          <w:color w:val="000000" w:themeColor="text1"/>
        </w:rPr>
        <w:t>.1,</w:t>
      </w:r>
      <w:r>
        <w:rPr>
          <w:color w:val="000000" w:themeColor="text1"/>
        </w:rPr>
        <w:t xml:space="preserve"> would </w:t>
      </w:r>
      <w:r w:rsidRPr="00E3618B">
        <w:rPr>
          <w:color w:val="000000" w:themeColor="text1"/>
        </w:rPr>
        <w:t xml:space="preserve">in practice </w:t>
      </w:r>
      <w:r>
        <w:t>mean that about US$ 2.5 billion per year would normally be allocated to the Fund unless more than 10% of the energy used by shipping in any year between 2027 and 2032 came from zero or near-zero GHG sources.</w:t>
      </w:r>
    </w:p>
  </w:footnote>
  <w:footnote w:id="19">
    <w:p w14:paraId="1BD2252B" w14:textId="77777777" w:rsidR="00C97D3A" w:rsidRDefault="00C97D3A" w:rsidP="008C0AB8">
      <w:pPr>
        <w:pStyle w:val="FootnoteText"/>
      </w:pPr>
      <w:r>
        <w:rPr>
          <w:rStyle w:val="FootnoteReference"/>
        </w:rPr>
        <w:footnoteRef/>
      </w:r>
      <w:r>
        <w:t xml:space="preserve"> </w:t>
      </w:r>
      <w:r>
        <w:tab/>
        <w:t>R</w:t>
      </w:r>
      <w:r w:rsidRPr="00027109">
        <w:t xml:space="preserve">egulation </w:t>
      </w:r>
      <w:r>
        <w:rPr>
          <w:color w:val="000000" w:themeColor="text1"/>
        </w:rPr>
        <w:t>40</w:t>
      </w:r>
      <w:r w:rsidRPr="00E3618B">
        <w:rPr>
          <w:color w:val="000000" w:themeColor="text1"/>
        </w:rPr>
        <w:t>.</w:t>
      </w:r>
      <w:r>
        <w:rPr>
          <w:color w:val="000000" w:themeColor="text1"/>
        </w:rPr>
        <w:t>3</w:t>
      </w:r>
      <w:r w:rsidRPr="00E3618B">
        <w:rPr>
          <w:color w:val="000000" w:themeColor="text1"/>
        </w:rPr>
        <w:t xml:space="preserve"> concern</w:t>
      </w:r>
      <w:r>
        <w:rPr>
          <w:color w:val="000000" w:themeColor="text1"/>
        </w:rPr>
        <w:t>s</w:t>
      </w:r>
      <w:r w:rsidRPr="00E3618B">
        <w:rPr>
          <w:color w:val="000000" w:themeColor="text1"/>
        </w:rPr>
        <w:t xml:space="preserve"> the need for total GHG fees </w:t>
      </w:r>
      <w:r>
        <w:rPr>
          <w:color w:val="000000" w:themeColor="text1"/>
        </w:rPr>
        <w:t xml:space="preserve">collected each year </w:t>
      </w:r>
      <w:r w:rsidRPr="00E3618B">
        <w:rPr>
          <w:color w:val="000000" w:themeColor="text1"/>
        </w:rPr>
        <w:t>to be adequate to provide feebates for the prevention of up to 100 million tonnes of CO</w:t>
      </w:r>
      <w:r w:rsidRPr="00E3618B">
        <w:rPr>
          <w:color w:val="000000" w:themeColor="text1"/>
          <w:vertAlign w:val="subscript"/>
        </w:rPr>
        <w:t>2</w:t>
      </w:r>
      <w:r w:rsidRPr="00E3618B">
        <w:rPr>
          <w:color w:val="000000" w:themeColor="text1"/>
        </w:rPr>
        <w:t>e per year</w:t>
      </w:r>
      <w:r>
        <w:rPr>
          <w:color w:val="000000" w:themeColor="text1"/>
        </w:rPr>
        <w:t>.</w:t>
      </w:r>
    </w:p>
    <w:p w14:paraId="67E89353" w14:textId="77777777" w:rsidR="00C97D3A" w:rsidRDefault="00C97D3A" w:rsidP="008C0AB8">
      <w:pPr>
        <w:pStyle w:val="FootnoteText"/>
      </w:pPr>
    </w:p>
  </w:footnote>
  <w:footnote w:id="20">
    <w:p w14:paraId="6068B38A" w14:textId="4976A31F" w:rsidR="00C97D3A" w:rsidRDefault="00C97D3A" w:rsidP="008C0AB8">
      <w:pPr>
        <w:pStyle w:val="FootnoteText"/>
      </w:pPr>
      <w:r>
        <w:rPr>
          <w:rStyle w:val="FootnoteReference"/>
        </w:rPr>
        <w:footnoteRef/>
      </w:r>
      <w:r>
        <w:t xml:space="preserve"> </w:t>
      </w:r>
      <w:r>
        <w:tab/>
      </w:r>
      <w:r w:rsidRPr="00E3618B">
        <w:rPr>
          <w:color w:val="000000" w:themeColor="text1"/>
        </w:rPr>
        <w:t>100 million tonnes of CO</w:t>
      </w:r>
      <w:r w:rsidRPr="00E3618B">
        <w:rPr>
          <w:color w:val="000000" w:themeColor="text1"/>
          <w:vertAlign w:val="subscript"/>
        </w:rPr>
        <w:t>2</w:t>
      </w:r>
      <w:r w:rsidRPr="00E3618B">
        <w:rPr>
          <w:color w:val="000000" w:themeColor="text1"/>
        </w:rPr>
        <w:t>e per year</w:t>
      </w:r>
      <w:r>
        <w:rPr>
          <w:color w:val="000000" w:themeColor="text1"/>
        </w:rPr>
        <w:t>, in line with the upper end of the 2030 ‘energy target,’ represents 10% of total annual emissions from shipping if these are taken, for the purposes of the regulation, to be 1 billion tonnes of CO</w:t>
      </w:r>
      <w:r w:rsidRPr="008E3277">
        <w:rPr>
          <w:color w:val="000000" w:themeColor="text1"/>
          <w:vertAlign w:val="subscript"/>
        </w:rPr>
        <w:t>2</w:t>
      </w:r>
      <w:r>
        <w:rPr>
          <w:color w:val="000000" w:themeColor="text1"/>
        </w:rPr>
        <w:t>e a year.</w:t>
      </w:r>
      <w:r w:rsidRPr="00E0743B">
        <w:rPr>
          <w:color w:val="000000" w:themeColor="text1"/>
        </w:rPr>
        <w:t xml:space="preserve"> </w:t>
      </w:r>
      <w:r>
        <w:rPr>
          <w:color w:val="000000" w:themeColor="text1"/>
        </w:rPr>
        <w:t>If the reward rate was set at, for example, US$100 per tonne of CO</w:t>
      </w:r>
      <w:r w:rsidRPr="00307ADF">
        <w:rPr>
          <w:color w:val="000000" w:themeColor="text1"/>
          <w:vertAlign w:val="subscript"/>
        </w:rPr>
        <w:t>2</w:t>
      </w:r>
      <w:r>
        <w:rPr>
          <w:color w:val="000000" w:themeColor="text1"/>
        </w:rPr>
        <w:t>e prevented by the use of eligible zero/near-zero GHG energy sources, on a WTW basis, the annual revenue required to provide rewards for the CO</w:t>
      </w:r>
      <w:r w:rsidRPr="00FA631F">
        <w:rPr>
          <w:color w:val="000000" w:themeColor="text1"/>
          <w:vertAlign w:val="subscript"/>
        </w:rPr>
        <w:t>2</w:t>
      </w:r>
      <w:r>
        <w:rPr>
          <w:color w:val="000000" w:themeColor="text1"/>
        </w:rPr>
        <w:t>e emissions prevented would be about US$12.5 billion per year, which, assuming that GHG fees were collected for 800 million</w:t>
      </w:r>
      <w:r w:rsidRPr="00237827">
        <w:rPr>
          <w:color w:val="000000" w:themeColor="text1"/>
        </w:rPr>
        <w:t xml:space="preserve"> </w:t>
      </w:r>
      <w:r>
        <w:rPr>
          <w:color w:val="000000" w:themeColor="text1"/>
        </w:rPr>
        <w:t>tonnes of CO</w:t>
      </w:r>
      <w:r w:rsidRPr="008813CE">
        <w:rPr>
          <w:color w:val="000000" w:themeColor="text1"/>
          <w:vertAlign w:val="subscript"/>
        </w:rPr>
        <w:t>2</w:t>
      </w:r>
      <w:r>
        <w:rPr>
          <w:color w:val="000000" w:themeColor="text1"/>
        </w:rPr>
        <w:t>e per year, would require a GHG fee to be set at about US$</w:t>
      </w:r>
      <w:r w:rsidRPr="00692FA1">
        <w:rPr>
          <w:szCs w:val="18"/>
        </w:rPr>
        <w:t>15.625</w:t>
      </w:r>
      <w:r w:rsidRPr="004F7A44">
        <w:rPr>
          <w:sz w:val="22"/>
          <w:szCs w:val="22"/>
        </w:rPr>
        <w:t xml:space="preserve"> </w:t>
      </w:r>
      <w:r>
        <w:rPr>
          <w:color w:val="000000" w:themeColor="text1"/>
        </w:rPr>
        <w:t>per tonne of CO</w:t>
      </w:r>
      <w:r w:rsidRPr="009F4B7A">
        <w:rPr>
          <w:color w:val="000000" w:themeColor="text1"/>
          <w:vertAlign w:val="subscript"/>
        </w:rPr>
        <w:t>2</w:t>
      </w:r>
      <w:r>
        <w:rPr>
          <w:color w:val="000000" w:themeColor="text1"/>
        </w:rPr>
        <w:t>e emitted (800 million multiplied by US$15.625.equals US$12,5 billion). If it was agreed that 20% of the total revenue collected to fund feebates each year should be allocated to the IMO Net Zero Shipping Fund, this would require the GHG fee to be set at US$18.75 per tonne of CO</w:t>
      </w:r>
      <w:r w:rsidRPr="000C1B8F">
        <w:rPr>
          <w:color w:val="000000" w:themeColor="text1"/>
          <w:vertAlign w:val="subscript"/>
        </w:rPr>
        <w:t>2</w:t>
      </w:r>
      <w:r>
        <w:rPr>
          <w:color w:val="000000" w:themeColor="text1"/>
        </w:rPr>
        <w:t xml:space="preserve">e with up to US$2.5 billion per year being allocated to the Fund. </w:t>
      </w:r>
    </w:p>
  </w:footnote>
  <w:footnote w:id="21">
    <w:p w14:paraId="2BBC8D8D" w14:textId="39D33289" w:rsidR="00C97D3A" w:rsidRDefault="00C97D3A" w:rsidP="008C0AB8">
      <w:pPr>
        <w:pStyle w:val="FootnoteText"/>
      </w:pPr>
      <w:r>
        <w:rPr>
          <w:rStyle w:val="FootnoteReference"/>
        </w:rPr>
        <w:footnoteRef/>
      </w:r>
      <w:r>
        <w:t xml:space="preserve"> </w:t>
      </w:r>
      <w:r>
        <w:tab/>
      </w:r>
      <w:r w:rsidRPr="007800A4">
        <w:t>A GHG fee of US</w:t>
      </w:r>
      <w:r>
        <w:t>$18.75</w:t>
      </w:r>
      <w:r w:rsidRPr="007800A4">
        <w:t xml:space="preserve"> per tonne of CO</w:t>
      </w:r>
      <w:r w:rsidRPr="00DD5DCF">
        <w:rPr>
          <w:vertAlign w:val="subscript"/>
        </w:rPr>
        <w:t>2</w:t>
      </w:r>
      <w:r w:rsidRPr="007800A4">
        <w:t xml:space="preserve">e </w:t>
      </w:r>
      <w:r>
        <w:t>emitted c</w:t>
      </w:r>
      <w:r w:rsidRPr="007800A4">
        <w:t xml:space="preserve">ould be sufficient to meet the objectives of </w:t>
      </w:r>
      <w:r>
        <w:br/>
      </w:r>
      <w:r w:rsidRPr="007800A4">
        <w:t xml:space="preserve">regulation </w:t>
      </w:r>
      <w:r>
        <w:rPr>
          <w:color w:val="000000" w:themeColor="text1"/>
        </w:rPr>
        <w:t>40</w:t>
      </w:r>
      <w:r w:rsidRPr="00E3618B">
        <w:rPr>
          <w:color w:val="000000" w:themeColor="text1"/>
        </w:rPr>
        <w:t>.</w:t>
      </w:r>
      <w:r>
        <w:rPr>
          <w:color w:val="000000" w:themeColor="text1"/>
        </w:rPr>
        <w:t>3</w:t>
      </w:r>
      <w:r w:rsidRPr="00E3618B">
        <w:rPr>
          <w:color w:val="000000" w:themeColor="text1"/>
        </w:rPr>
        <w:t xml:space="preserve"> </w:t>
      </w:r>
      <w:r w:rsidRPr="007800A4">
        <w:t xml:space="preserve">if the </w:t>
      </w:r>
      <w:r>
        <w:t xml:space="preserve">reward </w:t>
      </w:r>
      <w:r w:rsidRPr="007800A4">
        <w:t>rate was set at US$100 per tonne of CO</w:t>
      </w:r>
      <w:r w:rsidRPr="00DD5DCF">
        <w:rPr>
          <w:vertAlign w:val="subscript"/>
        </w:rPr>
        <w:t>2</w:t>
      </w:r>
      <w:r w:rsidRPr="007800A4">
        <w:t>e</w:t>
      </w:r>
      <w:r>
        <w:t xml:space="preserve"> on a WTW basis. </w:t>
      </w:r>
      <w:r w:rsidRPr="00B75723">
        <w:t>If</w:t>
      </w:r>
      <w:r>
        <w:t xml:space="preserve"> the GHG fee was set at this level, the cost gap with conventional Liquid Fuel Oil would be reduced by a further US$60 per tonne of fuel consumed due to zero GHG fuels being exempt from the GHG fee.</w:t>
      </w:r>
    </w:p>
  </w:footnote>
  <w:footnote w:id="22">
    <w:p w14:paraId="7B8F1A95" w14:textId="764671D5" w:rsidR="00C97D3A" w:rsidRDefault="00C97D3A" w:rsidP="008C0AB8">
      <w:pPr>
        <w:pStyle w:val="FootnoteText"/>
      </w:pPr>
      <w:r>
        <w:rPr>
          <w:rStyle w:val="FootnoteReference"/>
        </w:rPr>
        <w:footnoteRef/>
      </w:r>
      <w:r>
        <w:t xml:space="preserve"> </w:t>
      </w:r>
      <w:r>
        <w:tab/>
        <w:t>Pursuant to regulation 4 of MARPOL Annex VI, an equivalent means such as carbon capture and storage could be allowed to reduce CO</w:t>
      </w:r>
      <w:r w:rsidRPr="00091BA6">
        <w:rPr>
          <w:vertAlign w:val="subscript"/>
        </w:rPr>
        <w:t>2</w:t>
      </w:r>
      <w:r>
        <w:t xml:space="preserve">e emissions. </w:t>
      </w:r>
    </w:p>
  </w:footnote>
  <w:footnote w:id="23">
    <w:p w14:paraId="3BFBC775" w14:textId="77777777" w:rsidR="00C97D3A" w:rsidRDefault="00C97D3A" w:rsidP="008C0AB8">
      <w:pPr>
        <w:pStyle w:val="FootnoteText"/>
        <w:jc w:val="left"/>
      </w:pPr>
      <w:r>
        <w:rPr>
          <w:rStyle w:val="FootnoteReference"/>
        </w:rPr>
        <w:footnoteRef/>
      </w:r>
      <w:r>
        <w:t xml:space="preserve"> </w:t>
      </w:r>
      <w:r>
        <w:tab/>
        <w:t>By MEPC resolution adopted at the time of adoption of these amendments. Draft Annex to the MEPC resolution is set out in annex to this document.</w:t>
      </w:r>
    </w:p>
  </w:footnote>
  <w:footnote w:id="24">
    <w:p w14:paraId="451F9AC3" w14:textId="77777777" w:rsidR="00C97D3A" w:rsidRDefault="00C97D3A" w:rsidP="008C0AB8">
      <w:pPr>
        <w:pStyle w:val="FootnoteText"/>
      </w:pPr>
      <w:r>
        <w:rPr>
          <w:rStyle w:val="FootnoteReference"/>
        </w:rPr>
        <w:footnoteRef/>
      </w:r>
      <w:r>
        <w:t xml:space="preserve"> </w:t>
      </w:r>
      <w:r>
        <w:tab/>
        <w:t>Guidelines to be developed on eligible zero/near-zero GHG fuels, based on the LCA guidelines.</w:t>
      </w:r>
    </w:p>
  </w:footnote>
  <w:footnote w:id="25">
    <w:p w14:paraId="6880FAB6" w14:textId="77777777" w:rsidR="00C97D3A" w:rsidRDefault="00C97D3A" w:rsidP="008C0AB8">
      <w:pPr>
        <w:pStyle w:val="FootnoteText"/>
      </w:pPr>
      <w:r>
        <w:rPr>
          <w:rStyle w:val="FootnoteReference"/>
        </w:rPr>
        <w:footnoteRef/>
      </w:r>
      <w:r>
        <w:t xml:space="preserve"> </w:t>
      </w:r>
      <w:r>
        <w:tab/>
        <w:t>By MEPC resolution and annex adopted at the time of adoption of these amendments. Draft Annex to the MEPC resolution set out in annex to this document.</w:t>
      </w:r>
    </w:p>
  </w:footnote>
  <w:footnote w:id="26">
    <w:p w14:paraId="371F0A16" w14:textId="77777777" w:rsidR="00C97D3A" w:rsidRDefault="00C97D3A" w:rsidP="008C0AB8">
      <w:pPr>
        <w:pStyle w:val="FootnoteText"/>
      </w:pPr>
      <w:r>
        <w:rPr>
          <w:rStyle w:val="FootnoteReference"/>
        </w:rPr>
        <w:footnoteRef/>
      </w:r>
      <w:r>
        <w:t xml:space="preserve"> </w:t>
      </w:r>
      <w:r>
        <w:tab/>
        <w:t>Amendment required to DCS provisions (regulation 27 and appendix IX of MARPOL Annex VI) to include zero/near-zero GHG fuels</w:t>
      </w:r>
      <w:r>
        <w:rPr>
          <w:rFonts w:cs="Arial"/>
          <w:color w:val="000000" w:themeColor="text1"/>
          <w:szCs w:val="22"/>
        </w:rPr>
        <w:t>,</w:t>
      </w:r>
      <w:r w:rsidRPr="007642CE">
        <w:rPr>
          <w:rFonts w:cs="Arial"/>
          <w:color w:val="000000" w:themeColor="text1"/>
          <w:szCs w:val="22"/>
        </w:rPr>
        <w:t xml:space="preserve"> </w:t>
      </w:r>
      <w:r>
        <w:rPr>
          <w:rFonts w:cs="Arial"/>
          <w:color w:val="000000" w:themeColor="text1"/>
          <w:szCs w:val="22"/>
        </w:rPr>
        <w:t>technology and/or energy sources</w:t>
      </w:r>
      <w:r>
        <w:t xml:space="preserve"> eligible for feebates.</w:t>
      </w:r>
    </w:p>
  </w:footnote>
  <w:footnote w:id="27">
    <w:p w14:paraId="3CD2AC09" w14:textId="77777777" w:rsidR="00C97D3A" w:rsidRDefault="00C97D3A" w:rsidP="008C0AB8">
      <w:pPr>
        <w:pStyle w:val="FootnoteText"/>
        <w:jc w:val="left"/>
      </w:pPr>
      <w:r w:rsidRPr="00517DCB">
        <w:rPr>
          <w:rStyle w:val="FootnoteReference"/>
        </w:rPr>
        <w:footnoteRef/>
      </w:r>
      <w:r w:rsidRPr="00517DCB">
        <w:t xml:space="preserve"> </w:t>
      </w:r>
      <w:r w:rsidRPr="00517DCB">
        <w:tab/>
      </w:r>
      <w:r w:rsidRPr="00AE1EC4">
        <w:t xml:space="preserve">A draft document for the establishment and governance of the IMO Net Zero Shipping Fund (then called the IMSB) is set out in annex 4 of document ISWG-GHG 14/3. </w:t>
      </w:r>
    </w:p>
  </w:footnote>
  <w:footnote w:id="28">
    <w:p w14:paraId="6B365D00" w14:textId="77777777" w:rsidR="00C97D3A" w:rsidRDefault="00C97D3A" w:rsidP="008C0AB8">
      <w:pPr>
        <w:pStyle w:val="FootnoteText"/>
      </w:pPr>
      <w:r>
        <w:rPr>
          <w:rStyle w:val="FootnoteReference"/>
        </w:rPr>
        <w:footnoteRef/>
      </w:r>
      <w:r>
        <w:t xml:space="preserve"> </w:t>
      </w:r>
      <w:r>
        <w:tab/>
        <w:t>Alternatively, the particulars of the ship may be placed horizontally in boxes.</w:t>
      </w:r>
    </w:p>
  </w:footnote>
  <w:footnote w:id="29">
    <w:p w14:paraId="1F9AB26D" w14:textId="77777777" w:rsidR="00C97D3A" w:rsidRDefault="00C97D3A" w:rsidP="008C0AB8">
      <w:pPr>
        <w:pStyle w:val="FootnoteText"/>
      </w:pPr>
      <w:r>
        <w:rPr>
          <w:rStyle w:val="FootnoteReference"/>
        </w:rPr>
        <w:footnoteRef/>
      </w:r>
      <w:r>
        <w:t xml:space="preserve"> </w:t>
      </w:r>
      <w:r>
        <w:tab/>
        <w:t>In accordance with the IMO ship identification number scheme (resolution A.1078(28)).</w:t>
      </w:r>
    </w:p>
  </w:footnote>
  <w:footnote w:id="30">
    <w:p w14:paraId="7BFAF023" w14:textId="77777777" w:rsidR="00C97D3A" w:rsidRDefault="00C97D3A" w:rsidP="0051485E">
      <w:pPr>
        <w:pStyle w:val="FootnoteText"/>
        <w:spacing w:after="60"/>
        <w:rPr>
          <w:szCs w:val="18"/>
        </w:rPr>
      </w:pPr>
      <w:r>
        <w:rPr>
          <w:rStyle w:val="FootnoteReference"/>
          <w:szCs w:val="18"/>
        </w:rPr>
        <w:footnoteRef/>
      </w:r>
      <w:r>
        <w:rPr>
          <w:szCs w:val="18"/>
        </w:rPr>
        <w:t xml:space="preserve"> </w:t>
      </w:r>
      <w:r>
        <w:rPr>
          <w:szCs w:val="18"/>
        </w:rPr>
        <w:tab/>
      </w:r>
      <w:r>
        <w:rPr>
          <w:szCs w:val="18"/>
          <w:lang w:eastAsia="en-GB"/>
        </w:rPr>
        <w:t>For the purpose of calculating the GHG fee, the CO</w:t>
      </w:r>
      <w:r>
        <w:rPr>
          <w:szCs w:val="18"/>
          <w:vertAlign w:val="subscript"/>
          <w:lang w:eastAsia="en-GB"/>
        </w:rPr>
        <w:t>2</w:t>
      </w:r>
      <w:r w:rsidRPr="00CD408F">
        <w:rPr>
          <w:szCs w:val="18"/>
          <w:lang w:eastAsia="en-GB"/>
        </w:rPr>
        <w:t>e</w:t>
      </w:r>
      <w:r>
        <w:rPr>
          <w:szCs w:val="18"/>
          <w:vertAlign w:val="subscript"/>
          <w:lang w:eastAsia="en-GB"/>
        </w:rPr>
        <w:t xml:space="preserve"> </w:t>
      </w:r>
      <w:r>
        <w:rPr>
          <w:szCs w:val="18"/>
          <w:lang w:eastAsia="en-GB"/>
        </w:rPr>
        <w:t>emissions of all types of Liquid Fuel Oil are treated as being equal to</w:t>
      </w:r>
      <w:r>
        <w:rPr>
          <w:szCs w:val="18"/>
        </w:rPr>
        <w:t xml:space="preserve"> Diesel/Gas Oil</w:t>
      </w:r>
      <w:r>
        <w:rPr>
          <w:szCs w:val="18"/>
          <w:lang w:eastAsia="en-GB"/>
        </w:rPr>
        <w:t>.</w:t>
      </w:r>
    </w:p>
  </w:footnote>
  <w:footnote w:id="31">
    <w:p w14:paraId="64DB779B" w14:textId="5FB02F98" w:rsidR="00C97D3A" w:rsidRDefault="00C97D3A" w:rsidP="0051485E">
      <w:pPr>
        <w:pStyle w:val="FootnoteText"/>
      </w:pPr>
      <w:r>
        <w:rPr>
          <w:rStyle w:val="FootnoteReference"/>
        </w:rPr>
        <w:footnoteRef/>
      </w:r>
      <w:r>
        <w:t xml:space="preserve"> </w:t>
      </w:r>
      <w:r>
        <w:tab/>
        <w:t xml:space="preserve">List of fuel types, and their precise descriptions, to be decided by the Committee, taking account of the LCA </w:t>
      </w:r>
    </w:p>
    <w:p w14:paraId="5288701E" w14:textId="051EBA95" w:rsidR="00C97D3A" w:rsidRDefault="00C97D3A" w:rsidP="0051485E">
      <w:pPr>
        <w:pStyle w:val="FootnoteText"/>
      </w:pPr>
      <w:r>
        <w:tab/>
        <w:t>Guidelines.</w:t>
      </w:r>
    </w:p>
  </w:footnote>
  <w:footnote w:id="32">
    <w:p w14:paraId="5741FD92" w14:textId="1F54DF7D" w:rsidR="00C97D3A" w:rsidRDefault="00C97D3A" w:rsidP="00EA3929">
      <w:pPr>
        <w:pStyle w:val="FootnoteText"/>
      </w:pPr>
      <w:r>
        <w:rPr>
          <w:rStyle w:val="FootnoteReference"/>
        </w:rPr>
        <w:footnoteRef/>
      </w:r>
      <w:r>
        <w:t xml:space="preserve"> </w:t>
      </w:r>
      <w:r>
        <w:tab/>
        <w:t>Eligible zero/near-zero GHG fuels, technologies and energy sources and their precise description to be decided by the Committee. Other technologies and energy sources as may be decided</w:t>
      </w:r>
      <w:r w:rsidDel="00620B34">
        <w:t xml:space="preserve"> </w:t>
      </w:r>
      <w:r>
        <w:t>by the Committee e.g. possibly Onshore Power Supply, wind, solar nuclear,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06EC" w14:textId="59C29561" w:rsidR="00C97D3A" w:rsidRDefault="00C97D3A">
    <w:pPr>
      <w:pStyle w:val="Header"/>
    </w:pPr>
    <w:r>
      <w:t>ISWG-GHG 17/2/XX</w:t>
    </w:r>
  </w:p>
  <w:p w14:paraId="78A75682" w14:textId="027A0D65" w:rsidR="00C97D3A" w:rsidRDefault="00C97D3A">
    <w:pPr>
      <w:pStyle w:val="Header"/>
      <w:pBdr>
        <w:bottom w:val="single" w:sz="4" w:space="1" w:color="auto"/>
      </w:pBd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AEC412" w14:textId="77777777" w:rsidR="00C97D3A" w:rsidRDefault="00C97D3A">
    <w:pPr>
      <w:pStyle w:val="Header"/>
    </w:pPr>
  </w:p>
  <w:p w14:paraId="05841DF0" w14:textId="77777777" w:rsidR="00C97D3A" w:rsidRDefault="00C97D3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113B" w14:textId="07F6BDAF" w:rsidR="00C97D3A" w:rsidRDefault="00C97D3A" w:rsidP="002C1EA8">
    <w:pPr>
      <w:pStyle w:val="Header"/>
      <w:tabs>
        <w:tab w:val="clear" w:pos="851"/>
        <w:tab w:val="clear" w:pos="4153"/>
        <w:tab w:val="clear" w:pos="8306"/>
        <w:tab w:val="left" w:pos="193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1846" w14:textId="132FF0C7" w:rsidR="00C97D3A" w:rsidRDefault="00C97D3A">
    <w:pPr>
      <w:pStyle w:val="Header"/>
      <w:jc w:val="right"/>
    </w:pPr>
    <w:r>
      <w:t>ISWG-GHG 17/2/XX</w:t>
    </w:r>
  </w:p>
  <w:p w14:paraId="5890F56B" w14:textId="1F608641" w:rsidR="00C97D3A" w:rsidRDefault="00C97D3A">
    <w:pPr>
      <w:pStyle w:val="Header"/>
      <w:pBdr>
        <w:bottom w:val="single" w:sz="4" w:space="1" w:color="auto"/>
      </w:pBd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23E85B" w14:textId="77777777" w:rsidR="00C97D3A" w:rsidRDefault="00C97D3A">
    <w:pPr>
      <w:pStyle w:val="Header"/>
    </w:pPr>
  </w:p>
  <w:p w14:paraId="19934828" w14:textId="77777777" w:rsidR="00C97D3A" w:rsidRDefault="00C97D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35E3" w14:textId="17419C53" w:rsidR="00C97D3A" w:rsidRDefault="00C97D3A" w:rsidP="002C1EA8">
    <w:pPr>
      <w:pStyle w:val="Header"/>
      <w:tabs>
        <w:tab w:val="clear" w:pos="851"/>
        <w:tab w:val="clear" w:pos="4153"/>
        <w:tab w:val="clear" w:pos="8306"/>
        <w:tab w:val="left" w:pos="193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CC96" w14:textId="2F77640D" w:rsidR="00C97D3A" w:rsidRDefault="00C97D3A" w:rsidP="00206AAC">
    <w:pPr>
      <w:pStyle w:val="Header"/>
      <w:ind w:right="360"/>
    </w:pPr>
    <w:r>
      <w:t>ISWG-GHG 17/2/XX</w:t>
    </w:r>
  </w:p>
  <w:sdt>
    <w:sdtPr>
      <w:rPr>
        <w:rStyle w:val="PageNumber"/>
      </w:rPr>
      <w:id w:val="-551997541"/>
      <w:docPartObj>
        <w:docPartGallery w:val="Page Numbers (Top of Page)"/>
        <w:docPartUnique/>
      </w:docPartObj>
    </w:sdtPr>
    <w:sdtEndPr>
      <w:rPr>
        <w:rStyle w:val="PageNumber"/>
      </w:rPr>
    </w:sdtEndPr>
    <w:sdtContent>
      <w:p w14:paraId="273B62C5" w14:textId="77777777" w:rsidR="00206AAC" w:rsidRDefault="00206AAC" w:rsidP="00206AAC">
        <w:pPr>
          <w:pStyle w:val="Header"/>
          <w:framePr w:wrap="none" w:vAnchor="text" w:hAnchor="page" w:x="2924"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BA46DDC" w14:textId="6BD1BAC5" w:rsidR="00C97D3A" w:rsidRDefault="00C97D3A">
    <w:pPr>
      <w:pStyle w:val="Header"/>
      <w:pBdr>
        <w:bottom w:val="single" w:sz="4" w:space="1" w:color="auto"/>
      </w:pBdr>
      <w:rPr>
        <w:rStyle w:val="PageNumber"/>
      </w:rPr>
    </w:pPr>
    <w:r>
      <w:t xml:space="preserve">Annex 1, Page </w:t>
    </w:r>
  </w:p>
  <w:p w14:paraId="2E1762D2" w14:textId="77777777" w:rsidR="00C97D3A" w:rsidRDefault="00C97D3A">
    <w:pPr>
      <w:pStyle w:val="Header"/>
    </w:pPr>
  </w:p>
  <w:p w14:paraId="5236DA38" w14:textId="77777777" w:rsidR="00C97D3A" w:rsidRDefault="00C97D3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677560"/>
      <w:docPartObj>
        <w:docPartGallery w:val="Page Numbers (Top of Page)"/>
        <w:docPartUnique/>
      </w:docPartObj>
    </w:sdtPr>
    <w:sdtEndPr>
      <w:rPr>
        <w:rStyle w:val="PageNumber"/>
      </w:rPr>
    </w:sdtEndPr>
    <w:sdtContent>
      <w:p w14:paraId="6BA60769" w14:textId="11AB7F5D" w:rsidR="00C97D3A" w:rsidRDefault="00C97D3A" w:rsidP="00C97D3A">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599644" w14:textId="77777777" w:rsidR="00C97D3A" w:rsidRDefault="00C97D3A" w:rsidP="00C97D3A">
    <w:pPr>
      <w:pStyle w:val="Header"/>
      <w:ind w:right="360" w:firstLine="360"/>
      <w:jc w:val="right"/>
    </w:pPr>
    <w:r>
      <w:t>ISWG-GHG 17/2/XX</w:t>
    </w:r>
  </w:p>
  <w:p w14:paraId="05E66DD6" w14:textId="27ADB463" w:rsidR="00C97D3A" w:rsidRDefault="00C97D3A">
    <w:pPr>
      <w:pStyle w:val="Header"/>
      <w:pBdr>
        <w:bottom w:val="single" w:sz="4" w:space="1" w:color="auto"/>
      </w:pBdr>
      <w:jc w:val="right"/>
      <w:rPr>
        <w:rStyle w:val="PageNumber"/>
      </w:rPr>
    </w:pPr>
    <w:r>
      <w:t xml:space="preserve">Annex 1, Page </w:t>
    </w:r>
  </w:p>
  <w:p w14:paraId="74104C45" w14:textId="77777777" w:rsidR="00C97D3A" w:rsidRDefault="00C97D3A">
    <w:pPr>
      <w:pStyle w:val="Header"/>
    </w:pPr>
  </w:p>
  <w:p w14:paraId="304AEAFE" w14:textId="77777777" w:rsidR="00C97D3A" w:rsidRDefault="00C97D3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262F" w14:textId="5D62983A" w:rsidR="00C97D3A" w:rsidRDefault="00C97D3A" w:rsidP="00C97D3A">
    <w:pPr>
      <w:pStyle w:val="Header"/>
      <w:tabs>
        <w:tab w:val="clear" w:pos="851"/>
        <w:tab w:val="clear" w:pos="4153"/>
        <w:tab w:val="clear" w:pos="8306"/>
      </w:tabs>
      <w:ind w:right="-2" w:firstLine="360"/>
      <w:jc w:val="right"/>
    </w:pPr>
    <w:r>
      <w:t>ISWG-GHG 17/2/XX</w:t>
    </w:r>
  </w:p>
  <w:sdt>
    <w:sdtPr>
      <w:rPr>
        <w:rStyle w:val="PageNumber"/>
      </w:rPr>
      <w:id w:val="1362100456"/>
      <w:docPartObj>
        <w:docPartGallery w:val="Page Numbers (Top of Page)"/>
        <w:docPartUnique/>
      </w:docPartObj>
    </w:sdtPr>
    <w:sdtEndPr>
      <w:rPr>
        <w:rStyle w:val="PageNumber"/>
      </w:rPr>
    </w:sdtEndPr>
    <w:sdtContent>
      <w:p w14:paraId="53CB8DFA" w14:textId="77777777" w:rsidR="00C97D3A" w:rsidRDefault="00C97D3A" w:rsidP="00182A82">
        <w:pPr>
          <w:pStyle w:val="Header"/>
          <w:framePr w:w="306" w:wrap="none" w:vAnchor="text" w:hAnchor="page" w:x="10256" w:y="10"/>
          <w:tabs>
            <w:tab w:val="clear" w:pos="851"/>
            <w:tab w:val="clear" w:pos="4153"/>
            <w:tab w:val="clear" w:pos="8306"/>
          </w:tabs>
          <w:ind w:right="135"/>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34A9A8A" w14:textId="5725DCB9" w:rsidR="00C97D3A" w:rsidRDefault="00206AAC" w:rsidP="00182A82">
    <w:pPr>
      <w:pStyle w:val="Header"/>
      <w:pBdr>
        <w:bottom w:val="single" w:sz="4" w:space="1" w:color="auto"/>
      </w:pBdr>
      <w:tabs>
        <w:tab w:val="clear" w:pos="851"/>
        <w:tab w:val="clear" w:pos="4153"/>
        <w:tab w:val="clear" w:pos="8306"/>
        <w:tab w:val="left" w:pos="7371"/>
        <w:tab w:val="left" w:pos="7655"/>
      </w:tabs>
      <w:jc w:val="left"/>
      <w:rPr>
        <w:rStyle w:val="PageNumber"/>
      </w:rPr>
    </w:pPr>
    <w:r>
      <w:tab/>
    </w:r>
    <w:r w:rsidR="00C97D3A">
      <w:t>Annex 1, Page</w:t>
    </w:r>
  </w:p>
  <w:p w14:paraId="0529EC02" w14:textId="77777777" w:rsidR="00C97D3A" w:rsidRDefault="00C97D3A">
    <w:pPr>
      <w:pStyle w:val="Header"/>
    </w:pPr>
  </w:p>
  <w:p w14:paraId="344FB563" w14:textId="77777777" w:rsidR="00C97D3A" w:rsidRDefault="00C97D3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D265" w14:textId="77777777" w:rsidR="00C97D3A" w:rsidRDefault="00C97D3A" w:rsidP="002C1EA8">
    <w:pPr>
      <w:pStyle w:val="Header"/>
      <w:tabs>
        <w:tab w:val="clear" w:pos="851"/>
        <w:tab w:val="clear" w:pos="4153"/>
        <w:tab w:val="clear" w:pos="8306"/>
        <w:tab w:val="left" w:pos="1933"/>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79810" w14:textId="77777777" w:rsidR="00C97D3A" w:rsidRDefault="00C97D3A">
    <w:pPr>
      <w:pStyle w:val="Header"/>
    </w:pPr>
    <w:r>
      <w:t>ISWG-GHG 17/2/XX</w:t>
    </w:r>
  </w:p>
  <w:p w14:paraId="42D18643" w14:textId="77FD9C36" w:rsidR="00C97D3A" w:rsidRDefault="00C97D3A">
    <w:pPr>
      <w:pStyle w:val="Header"/>
      <w:pBdr>
        <w:bottom w:val="single" w:sz="4" w:space="1" w:color="auto"/>
      </w:pBdr>
      <w:rPr>
        <w:rStyle w:val="PageNumber"/>
      </w:rPr>
    </w:pPr>
    <w:r>
      <w:t xml:space="preserve">Annex 2,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189A45" w14:textId="77777777" w:rsidR="00C97D3A" w:rsidRDefault="00C97D3A">
    <w:pPr>
      <w:pStyle w:val="Header"/>
    </w:pPr>
  </w:p>
  <w:p w14:paraId="79E3326A" w14:textId="77777777" w:rsidR="00C97D3A" w:rsidRDefault="00C97D3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51DD" w14:textId="77777777" w:rsidR="00C97D3A" w:rsidRDefault="00C97D3A">
    <w:pPr>
      <w:pStyle w:val="Header"/>
      <w:jc w:val="right"/>
    </w:pPr>
    <w:r>
      <w:t>ISWG-GHG 17/2/XX</w:t>
    </w:r>
  </w:p>
  <w:p w14:paraId="7359541D" w14:textId="05A72EF5" w:rsidR="00C97D3A" w:rsidRDefault="00C97D3A">
    <w:pPr>
      <w:pStyle w:val="Header"/>
      <w:pBdr>
        <w:bottom w:val="single" w:sz="4" w:space="1" w:color="auto"/>
      </w:pBdr>
      <w:jc w:val="right"/>
      <w:rPr>
        <w:rStyle w:val="PageNumber"/>
      </w:rPr>
    </w:pPr>
    <w:r>
      <w:t xml:space="preserve">Annex 2,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FCCBA7" w14:textId="77777777" w:rsidR="00C97D3A" w:rsidRDefault="00C97D3A">
    <w:pPr>
      <w:pStyle w:val="Header"/>
    </w:pPr>
  </w:p>
  <w:p w14:paraId="311DADE5" w14:textId="77777777" w:rsidR="00C97D3A" w:rsidRDefault="00C97D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87238"/>
    <w:multiLevelType w:val="hybridMultilevel"/>
    <w:tmpl w:val="DFEEA58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160468"/>
    <w:multiLevelType w:val="hybridMultilevel"/>
    <w:tmpl w:val="8EB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462AF9"/>
    <w:multiLevelType w:val="hybridMultilevel"/>
    <w:tmpl w:val="8468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3392A"/>
    <w:multiLevelType w:val="hybridMultilevel"/>
    <w:tmpl w:val="6E900F32"/>
    <w:lvl w:ilvl="0" w:tplc="507884CE">
      <w:start w:val="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E206A"/>
    <w:multiLevelType w:val="multilevel"/>
    <w:tmpl w:val="6FEE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57B78"/>
    <w:multiLevelType w:val="hybridMultilevel"/>
    <w:tmpl w:val="CE9A6108"/>
    <w:lvl w:ilvl="0" w:tplc="ACA8183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18C3340B"/>
    <w:multiLevelType w:val="hybridMultilevel"/>
    <w:tmpl w:val="70E6AED6"/>
    <w:lvl w:ilvl="0" w:tplc="F7D8B8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95F15F4"/>
    <w:multiLevelType w:val="hybridMultilevel"/>
    <w:tmpl w:val="686A1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35985"/>
    <w:multiLevelType w:val="hybridMultilevel"/>
    <w:tmpl w:val="F9B2C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462DB"/>
    <w:multiLevelType w:val="hybridMultilevel"/>
    <w:tmpl w:val="1E830A6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AD57296"/>
    <w:multiLevelType w:val="hybridMultilevel"/>
    <w:tmpl w:val="AAB43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EF164F"/>
    <w:multiLevelType w:val="hybridMultilevel"/>
    <w:tmpl w:val="370AD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A1BF5"/>
    <w:multiLevelType w:val="hybridMultilevel"/>
    <w:tmpl w:val="5906B108"/>
    <w:lvl w:ilvl="0" w:tplc="F110B9D2">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FE03D1A"/>
    <w:multiLevelType w:val="hybridMultilevel"/>
    <w:tmpl w:val="8EACD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31E58"/>
    <w:multiLevelType w:val="hybridMultilevel"/>
    <w:tmpl w:val="9216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B3E0D"/>
    <w:multiLevelType w:val="hybridMultilevel"/>
    <w:tmpl w:val="38D47C00"/>
    <w:lvl w:ilvl="0" w:tplc="52DC4520">
      <w:start w:val="4"/>
      <w:numFmt w:val="bullet"/>
      <w:lvlText w:val="-"/>
      <w:lvlJc w:val="left"/>
      <w:pPr>
        <w:ind w:left="2061" w:hanging="360"/>
      </w:pPr>
      <w:rPr>
        <w:rFonts w:ascii="Arial" w:eastAsia="MS Gothic"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3" w15:restartNumberingAfterBreak="0">
    <w:nsid w:val="524B5A85"/>
    <w:multiLevelType w:val="hybridMultilevel"/>
    <w:tmpl w:val="DB38A2E8"/>
    <w:lvl w:ilvl="0" w:tplc="08090001">
      <w:start w:val="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A0504"/>
    <w:multiLevelType w:val="hybridMultilevel"/>
    <w:tmpl w:val="C864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A0740"/>
    <w:multiLevelType w:val="hybridMultilevel"/>
    <w:tmpl w:val="BD52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E4545"/>
    <w:multiLevelType w:val="hybridMultilevel"/>
    <w:tmpl w:val="1012FE96"/>
    <w:lvl w:ilvl="0" w:tplc="06A2EEF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2153E"/>
    <w:multiLevelType w:val="hybridMultilevel"/>
    <w:tmpl w:val="2284741C"/>
    <w:lvl w:ilvl="0" w:tplc="44805D56">
      <w:start w:val="7"/>
      <w:numFmt w:val="bullet"/>
      <w:lvlText w:val="•"/>
      <w:lvlJc w:val="left"/>
      <w:pPr>
        <w:ind w:left="1211" w:hanging="360"/>
      </w:pPr>
      <w:rPr>
        <w:rFonts w:ascii="Arial" w:eastAsia="MS Gothic"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15:restartNumberingAfterBreak="0">
    <w:nsid w:val="67A03FEC"/>
    <w:multiLevelType w:val="hybridMultilevel"/>
    <w:tmpl w:val="FBEE9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1F31"/>
    <w:multiLevelType w:val="hybridMultilevel"/>
    <w:tmpl w:val="8F9874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3C6297"/>
    <w:multiLevelType w:val="hybridMultilevel"/>
    <w:tmpl w:val="FD020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C486B"/>
    <w:multiLevelType w:val="hybridMultilevel"/>
    <w:tmpl w:val="FB64EB0E"/>
    <w:lvl w:ilvl="0" w:tplc="44805D56">
      <w:start w:val="7"/>
      <w:numFmt w:val="bullet"/>
      <w:lvlText w:val="•"/>
      <w:lvlJc w:val="left"/>
      <w:pPr>
        <w:ind w:left="1211" w:hanging="360"/>
      </w:pPr>
      <w:rPr>
        <w:rFonts w:ascii="Arial" w:eastAsia="MS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D58E5"/>
    <w:multiLevelType w:val="hybridMultilevel"/>
    <w:tmpl w:val="CC849C42"/>
    <w:lvl w:ilvl="0" w:tplc="08090001">
      <w:start w:val="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778F3"/>
    <w:multiLevelType w:val="hybridMultilevel"/>
    <w:tmpl w:val="83666090"/>
    <w:lvl w:ilvl="0" w:tplc="418E7816">
      <w:start w:val="3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F138D6"/>
    <w:multiLevelType w:val="hybridMultilevel"/>
    <w:tmpl w:val="3C887CBC"/>
    <w:lvl w:ilvl="0" w:tplc="D46A78FA">
      <w:start w:val="1"/>
      <w:numFmt w:val="lowerLetter"/>
      <w:lvlText w:val="%1)"/>
      <w:lvlJc w:val="left"/>
      <w:pPr>
        <w:ind w:left="1020" w:hanging="360"/>
      </w:pPr>
    </w:lvl>
    <w:lvl w:ilvl="1" w:tplc="7D8CD522">
      <w:start w:val="1"/>
      <w:numFmt w:val="lowerLetter"/>
      <w:lvlText w:val="%2)"/>
      <w:lvlJc w:val="left"/>
      <w:pPr>
        <w:ind w:left="1020" w:hanging="360"/>
      </w:pPr>
    </w:lvl>
    <w:lvl w:ilvl="2" w:tplc="10B41B3C">
      <w:start w:val="1"/>
      <w:numFmt w:val="lowerLetter"/>
      <w:lvlText w:val="%3)"/>
      <w:lvlJc w:val="left"/>
      <w:pPr>
        <w:ind w:left="1020" w:hanging="360"/>
      </w:pPr>
    </w:lvl>
    <w:lvl w:ilvl="3" w:tplc="2D0477A6">
      <w:start w:val="1"/>
      <w:numFmt w:val="lowerLetter"/>
      <w:lvlText w:val="%4)"/>
      <w:lvlJc w:val="left"/>
      <w:pPr>
        <w:ind w:left="1020" w:hanging="360"/>
      </w:pPr>
    </w:lvl>
    <w:lvl w:ilvl="4" w:tplc="7736CE96">
      <w:start w:val="1"/>
      <w:numFmt w:val="lowerLetter"/>
      <w:lvlText w:val="%5)"/>
      <w:lvlJc w:val="left"/>
      <w:pPr>
        <w:ind w:left="1020" w:hanging="360"/>
      </w:pPr>
    </w:lvl>
    <w:lvl w:ilvl="5" w:tplc="E2A0D77C">
      <w:start w:val="1"/>
      <w:numFmt w:val="lowerLetter"/>
      <w:lvlText w:val="%6)"/>
      <w:lvlJc w:val="left"/>
      <w:pPr>
        <w:ind w:left="1020" w:hanging="360"/>
      </w:pPr>
    </w:lvl>
    <w:lvl w:ilvl="6" w:tplc="4300ADF6">
      <w:start w:val="1"/>
      <w:numFmt w:val="lowerLetter"/>
      <w:lvlText w:val="%7)"/>
      <w:lvlJc w:val="left"/>
      <w:pPr>
        <w:ind w:left="1020" w:hanging="360"/>
      </w:pPr>
    </w:lvl>
    <w:lvl w:ilvl="7" w:tplc="33047C1C">
      <w:start w:val="1"/>
      <w:numFmt w:val="lowerLetter"/>
      <w:lvlText w:val="%8)"/>
      <w:lvlJc w:val="left"/>
      <w:pPr>
        <w:ind w:left="1020" w:hanging="360"/>
      </w:pPr>
    </w:lvl>
    <w:lvl w:ilvl="8" w:tplc="A68A9B86">
      <w:start w:val="1"/>
      <w:numFmt w:val="lowerLetter"/>
      <w:lvlText w:val="%9)"/>
      <w:lvlJc w:val="left"/>
      <w:pPr>
        <w:ind w:left="1020" w:hanging="360"/>
      </w:pPr>
    </w:lvl>
  </w:abstractNum>
  <w:num w:numId="1" w16cid:durableId="1347513620">
    <w:abstractNumId w:val="7"/>
  </w:num>
  <w:num w:numId="2" w16cid:durableId="1596356750">
    <w:abstractNumId w:val="5"/>
  </w:num>
  <w:num w:numId="3" w16cid:durableId="2089959238">
    <w:abstractNumId w:val="4"/>
  </w:num>
  <w:num w:numId="4" w16cid:durableId="1531646823">
    <w:abstractNumId w:val="3"/>
  </w:num>
  <w:num w:numId="5" w16cid:durableId="1718967098">
    <w:abstractNumId w:val="2"/>
  </w:num>
  <w:num w:numId="6" w16cid:durableId="428545903">
    <w:abstractNumId w:val="6"/>
  </w:num>
  <w:num w:numId="7" w16cid:durableId="965158444">
    <w:abstractNumId w:val="1"/>
  </w:num>
  <w:num w:numId="8" w16cid:durableId="1258321158">
    <w:abstractNumId w:val="29"/>
  </w:num>
  <w:num w:numId="9" w16cid:durableId="1137600700">
    <w:abstractNumId w:val="0"/>
  </w:num>
  <w:num w:numId="10" w16cid:durableId="666323558">
    <w:abstractNumId w:val="16"/>
  </w:num>
  <w:num w:numId="11" w16cid:durableId="726611403">
    <w:abstractNumId w:val="13"/>
  </w:num>
  <w:num w:numId="12" w16cid:durableId="1381901165">
    <w:abstractNumId w:val="24"/>
  </w:num>
  <w:num w:numId="13" w16cid:durableId="2120299483">
    <w:abstractNumId w:val="8"/>
  </w:num>
  <w:num w:numId="14" w16cid:durableId="305665362">
    <w:abstractNumId w:val="25"/>
  </w:num>
  <w:num w:numId="15" w16cid:durableId="1722709481">
    <w:abstractNumId w:val="31"/>
  </w:num>
  <w:num w:numId="16" w16cid:durableId="188493101">
    <w:abstractNumId w:val="12"/>
  </w:num>
  <w:num w:numId="17" w16cid:durableId="764499370">
    <w:abstractNumId w:val="19"/>
  </w:num>
  <w:num w:numId="18" w16cid:durableId="2035186428">
    <w:abstractNumId w:val="22"/>
  </w:num>
  <w:num w:numId="19" w16cid:durableId="2050494912">
    <w:abstractNumId w:val="27"/>
  </w:num>
  <w:num w:numId="20" w16cid:durableId="172688994">
    <w:abstractNumId w:val="9"/>
  </w:num>
  <w:num w:numId="21" w16cid:durableId="711610866">
    <w:abstractNumId w:val="26"/>
  </w:num>
  <w:num w:numId="22" w16cid:durableId="122039268">
    <w:abstractNumId w:val="23"/>
  </w:num>
  <w:num w:numId="23" w16cid:durableId="1759785845">
    <w:abstractNumId w:val="33"/>
  </w:num>
  <w:num w:numId="24" w16cid:durableId="768701059">
    <w:abstractNumId w:val="32"/>
  </w:num>
  <w:num w:numId="25" w16cid:durableId="1349063346">
    <w:abstractNumId w:val="15"/>
  </w:num>
  <w:num w:numId="26" w16cid:durableId="2020426003">
    <w:abstractNumId w:val="21"/>
  </w:num>
  <w:num w:numId="27" w16cid:durableId="1587418137">
    <w:abstractNumId w:val="30"/>
  </w:num>
  <w:num w:numId="28" w16cid:durableId="1331174889">
    <w:abstractNumId w:val="14"/>
  </w:num>
  <w:num w:numId="29" w16cid:durableId="626622210">
    <w:abstractNumId w:val="18"/>
  </w:num>
  <w:num w:numId="30" w16cid:durableId="2032490072">
    <w:abstractNumId w:val="28"/>
  </w:num>
  <w:num w:numId="31" w16cid:durableId="494299247">
    <w:abstractNumId w:val="11"/>
  </w:num>
  <w:num w:numId="32" w16cid:durableId="1976911811">
    <w:abstractNumId w:val="10"/>
  </w:num>
  <w:num w:numId="33" w16cid:durableId="1636714950">
    <w:abstractNumId w:val="20"/>
  </w:num>
  <w:num w:numId="34" w16cid:durableId="199589210">
    <w:abstractNumId w:val="34"/>
  </w:num>
  <w:num w:numId="35" w16cid:durableId="1752658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exno" w:val="1"/>
    <w:docVar w:name="AskAnnex" w:val="Yes"/>
    <w:docVar w:name="Div" w:val="  "/>
    <w:docVar w:name="SingleAnnex" w:val="No"/>
    <w:docVar w:name="Symbol" w:val="789"/>
  </w:docVars>
  <w:rsids>
    <w:rsidRoot w:val="00911084"/>
    <w:rsid w:val="0000169F"/>
    <w:rsid w:val="0000320C"/>
    <w:rsid w:val="00003B42"/>
    <w:rsid w:val="00006C4E"/>
    <w:rsid w:val="00007798"/>
    <w:rsid w:val="000107EA"/>
    <w:rsid w:val="00014577"/>
    <w:rsid w:val="00014F2A"/>
    <w:rsid w:val="00016ED3"/>
    <w:rsid w:val="00021927"/>
    <w:rsid w:val="0002458F"/>
    <w:rsid w:val="00024B64"/>
    <w:rsid w:val="00024CC5"/>
    <w:rsid w:val="00025E67"/>
    <w:rsid w:val="00026A80"/>
    <w:rsid w:val="0002746D"/>
    <w:rsid w:val="00031A59"/>
    <w:rsid w:val="00031FD7"/>
    <w:rsid w:val="000328E6"/>
    <w:rsid w:val="000330FD"/>
    <w:rsid w:val="00033E14"/>
    <w:rsid w:val="00034C86"/>
    <w:rsid w:val="00035F08"/>
    <w:rsid w:val="00037345"/>
    <w:rsid w:val="0004083E"/>
    <w:rsid w:val="00041273"/>
    <w:rsid w:val="00043BE5"/>
    <w:rsid w:val="00045C80"/>
    <w:rsid w:val="00045CFC"/>
    <w:rsid w:val="0004738F"/>
    <w:rsid w:val="00050426"/>
    <w:rsid w:val="000505BB"/>
    <w:rsid w:val="00050713"/>
    <w:rsid w:val="00051073"/>
    <w:rsid w:val="00052DB6"/>
    <w:rsid w:val="00055D75"/>
    <w:rsid w:val="00057DE4"/>
    <w:rsid w:val="0006443A"/>
    <w:rsid w:val="00066168"/>
    <w:rsid w:val="000663C6"/>
    <w:rsid w:val="0006747A"/>
    <w:rsid w:val="00067DB6"/>
    <w:rsid w:val="0007218A"/>
    <w:rsid w:val="00072D06"/>
    <w:rsid w:val="00072F3D"/>
    <w:rsid w:val="000749F2"/>
    <w:rsid w:val="00074EE1"/>
    <w:rsid w:val="00076538"/>
    <w:rsid w:val="000879E1"/>
    <w:rsid w:val="000905E0"/>
    <w:rsid w:val="00090994"/>
    <w:rsid w:val="00091403"/>
    <w:rsid w:val="00091A71"/>
    <w:rsid w:val="00091B36"/>
    <w:rsid w:val="00094257"/>
    <w:rsid w:val="000A1FD2"/>
    <w:rsid w:val="000A207F"/>
    <w:rsid w:val="000A23D3"/>
    <w:rsid w:val="000A2A9B"/>
    <w:rsid w:val="000A6529"/>
    <w:rsid w:val="000A7004"/>
    <w:rsid w:val="000B11F7"/>
    <w:rsid w:val="000B1AED"/>
    <w:rsid w:val="000B6B10"/>
    <w:rsid w:val="000B71F8"/>
    <w:rsid w:val="000B76A3"/>
    <w:rsid w:val="000B77F7"/>
    <w:rsid w:val="000C0975"/>
    <w:rsid w:val="000C3813"/>
    <w:rsid w:val="000C3CD6"/>
    <w:rsid w:val="000C5615"/>
    <w:rsid w:val="000D08F2"/>
    <w:rsid w:val="000D21A9"/>
    <w:rsid w:val="000D29AA"/>
    <w:rsid w:val="000D2ECB"/>
    <w:rsid w:val="000D37E7"/>
    <w:rsid w:val="000D3BC9"/>
    <w:rsid w:val="000D4416"/>
    <w:rsid w:val="000E08F6"/>
    <w:rsid w:val="000E0BAE"/>
    <w:rsid w:val="000E2061"/>
    <w:rsid w:val="000E2E71"/>
    <w:rsid w:val="000F0411"/>
    <w:rsid w:val="000F0F32"/>
    <w:rsid w:val="000F1635"/>
    <w:rsid w:val="000F2CB8"/>
    <w:rsid w:val="000F584F"/>
    <w:rsid w:val="0010062D"/>
    <w:rsid w:val="0010083E"/>
    <w:rsid w:val="0010245C"/>
    <w:rsid w:val="001033CF"/>
    <w:rsid w:val="001043E1"/>
    <w:rsid w:val="00104A68"/>
    <w:rsid w:val="00104B43"/>
    <w:rsid w:val="00104B6E"/>
    <w:rsid w:val="00107448"/>
    <w:rsid w:val="00111081"/>
    <w:rsid w:val="0011379B"/>
    <w:rsid w:val="001201E7"/>
    <w:rsid w:val="00122340"/>
    <w:rsid w:val="0012286F"/>
    <w:rsid w:val="00122CF3"/>
    <w:rsid w:val="00122E44"/>
    <w:rsid w:val="00125205"/>
    <w:rsid w:val="001255B8"/>
    <w:rsid w:val="00126FD0"/>
    <w:rsid w:val="001309FA"/>
    <w:rsid w:val="00131BD1"/>
    <w:rsid w:val="00131C0F"/>
    <w:rsid w:val="00135097"/>
    <w:rsid w:val="00135842"/>
    <w:rsid w:val="00137E8D"/>
    <w:rsid w:val="001401FD"/>
    <w:rsid w:val="00140B85"/>
    <w:rsid w:val="001417CD"/>
    <w:rsid w:val="00142775"/>
    <w:rsid w:val="00142D71"/>
    <w:rsid w:val="0014330A"/>
    <w:rsid w:val="001445F1"/>
    <w:rsid w:val="00146212"/>
    <w:rsid w:val="0015109D"/>
    <w:rsid w:val="001529D6"/>
    <w:rsid w:val="00154069"/>
    <w:rsid w:val="00156B9A"/>
    <w:rsid w:val="00157787"/>
    <w:rsid w:val="0016023E"/>
    <w:rsid w:val="00160E2A"/>
    <w:rsid w:val="00161EE7"/>
    <w:rsid w:val="00162384"/>
    <w:rsid w:val="00167518"/>
    <w:rsid w:val="001675A9"/>
    <w:rsid w:val="001717E5"/>
    <w:rsid w:val="00171DD4"/>
    <w:rsid w:val="00174E48"/>
    <w:rsid w:val="00176FA3"/>
    <w:rsid w:val="00181CFC"/>
    <w:rsid w:val="00182A82"/>
    <w:rsid w:val="00183A25"/>
    <w:rsid w:val="0018696E"/>
    <w:rsid w:val="001876C8"/>
    <w:rsid w:val="001955DD"/>
    <w:rsid w:val="001964DC"/>
    <w:rsid w:val="00196FFA"/>
    <w:rsid w:val="001A061D"/>
    <w:rsid w:val="001A082F"/>
    <w:rsid w:val="001A2054"/>
    <w:rsid w:val="001B0F39"/>
    <w:rsid w:val="001B2278"/>
    <w:rsid w:val="001B2D2F"/>
    <w:rsid w:val="001B34F4"/>
    <w:rsid w:val="001B3835"/>
    <w:rsid w:val="001B5CA0"/>
    <w:rsid w:val="001B6731"/>
    <w:rsid w:val="001B712B"/>
    <w:rsid w:val="001C0F24"/>
    <w:rsid w:val="001C1E88"/>
    <w:rsid w:val="001C1EAB"/>
    <w:rsid w:val="001C42BF"/>
    <w:rsid w:val="001C4782"/>
    <w:rsid w:val="001C5415"/>
    <w:rsid w:val="001C621B"/>
    <w:rsid w:val="001C66A0"/>
    <w:rsid w:val="001C68D1"/>
    <w:rsid w:val="001C6932"/>
    <w:rsid w:val="001D0086"/>
    <w:rsid w:val="001D1BE8"/>
    <w:rsid w:val="001D50F5"/>
    <w:rsid w:val="001D5F68"/>
    <w:rsid w:val="001E3628"/>
    <w:rsid w:val="001E3790"/>
    <w:rsid w:val="001E3E00"/>
    <w:rsid w:val="001E47B3"/>
    <w:rsid w:val="001E4878"/>
    <w:rsid w:val="001E4BD3"/>
    <w:rsid w:val="001E55CB"/>
    <w:rsid w:val="001E5AF7"/>
    <w:rsid w:val="001E6683"/>
    <w:rsid w:val="001F0CDA"/>
    <w:rsid w:val="001F18F4"/>
    <w:rsid w:val="001F3ACA"/>
    <w:rsid w:val="001F3D6C"/>
    <w:rsid w:val="001F5582"/>
    <w:rsid w:val="001F5B40"/>
    <w:rsid w:val="001F70F4"/>
    <w:rsid w:val="001F7247"/>
    <w:rsid w:val="001F7296"/>
    <w:rsid w:val="00202603"/>
    <w:rsid w:val="00202FC1"/>
    <w:rsid w:val="002030AA"/>
    <w:rsid w:val="00205968"/>
    <w:rsid w:val="00206AAC"/>
    <w:rsid w:val="00206B61"/>
    <w:rsid w:val="00211152"/>
    <w:rsid w:val="00211BE9"/>
    <w:rsid w:val="00212033"/>
    <w:rsid w:val="0021311E"/>
    <w:rsid w:val="002142AF"/>
    <w:rsid w:val="0021568A"/>
    <w:rsid w:val="00215FE3"/>
    <w:rsid w:val="00217044"/>
    <w:rsid w:val="0022016F"/>
    <w:rsid w:val="002206DA"/>
    <w:rsid w:val="00220D45"/>
    <w:rsid w:val="00222F02"/>
    <w:rsid w:val="002301A4"/>
    <w:rsid w:val="00232F5A"/>
    <w:rsid w:val="00233F5B"/>
    <w:rsid w:val="0023453B"/>
    <w:rsid w:val="00234BA6"/>
    <w:rsid w:val="00234E5F"/>
    <w:rsid w:val="00235062"/>
    <w:rsid w:val="0023599F"/>
    <w:rsid w:val="002363C6"/>
    <w:rsid w:val="0023657C"/>
    <w:rsid w:val="00236826"/>
    <w:rsid w:val="00236EAC"/>
    <w:rsid w:val="00236EB0"/>
    <w:rsid w:val="0023790E"/>
    <w:rsid w:val="0024019A"/>
    <w:rsid w:val="00242D98"/>
    <w:rsid w:val="002440BE"/>
    <w:rsid w:val="00245335"/>
    <w:rsid w:val="00245368"/>
    <w:rsid w:val="00245C57"/>
    <w:rsid w:val="002505B1"/>
    <w:rsid w:val="00251529"/>
    <w:rsid w:val="00252228"/>
    <w:rsid w:val="00253687"/>
    <w:rsid w:val="00253CEC"/>
    <w:rsid w:val="00255434"/>
    <w:rsid w:val="0025641C"/>
    <w:rsid w:val="00256C4B"/>
    <w:rsid w:val="00257B9B"/>
    <w:rsid w:val="002602CD"/>
    <w:rsid w:val="002611C5"/>
    <w:rsid w:val="00261D06"/>
    <w:rsid w:val="0026300F"/>
    <w:rsid w:val="00263688"/>
    <w:rsid w:val="00264ECB"/>
    <w:rsid w:val="00266BA3"/>
    <w:rsid w:val="002672F0"/>
    <w:rsid w:val="002701F8"/>
    <w:rsid w:val="00273E92"/>
    <w:rsid w:val="00274665"/>
    <w:rsid w:val="002761DF"/>
    <w:rsid w:val="0028394E"/>
    <w:rsid w:val="00286896"/>
    <w:rsid w:val="00294839"/>
    <w:rsid w:val="00296AFB"/>
    <w:rsid w:val="00296D51"/>
    <w:rsid w:val="002A0B2B"/>
    <w:rsid w:val="002A1793"/>
    <w:rsid w:val="002A1B50"/>
    <w:rsid w:val="002A3285"/>
    <w:rsid w:val="002A412F"/>
    <w:rsid w:val="002A56D6"/>
    <w:rsid w:val="002A7B79"/>
    <w:rsid w:val="002A7E1E"/>
    <w:rsid w:val="002B04AF"/>
    <w:rsid w:val="002B0A3A"/>
    <w:rsid w:val="002B2B33"/>
    <w:rsid w:val="002C025E"/>
    <w:rsid w:val="002C06DC"/>
    <w:rsid w:val="002C0B30"/>
    <w:rsid w:val="002C1AA4"/>
    <w:rsid w:val="002C1CD9"/>
    <w:rsid w:val="002C1EA8"/>
    <w:rsid w:val="002C2C96"/>
    <w:rsid w:val="002C4A77"/>
    <w:rsid w:val="002C5830"/>
    <w:rsid w:val="002C6761"/>
    <w:rsid w:val="002C6D38"/>
    <w:rsid w:val="002C7909"/>
    <w:rsid w:val="002D0033"/>
    <w:rsid w:val="002D0DC3"/>
    <w:rsid w:val="002D2C00"/>
    <w:rsid w:val="002D2E8E"/>
    <w:rsid w:val="002D43C8"/>
    <w:rsid w:val="002D479D"/>
    <w:rsid w:val="002D5D66"/>
    <w:rsid w:val="002E0757"/>
    <w:rsid w:val="002E0CF9"/>
    <w:rsid w:val="002E2440"/>
    <w:rsid w:val="002E3D55"/>
    <w:rsid w:val="002E761B"/>
    <w:rsid w:val="002F226F"/>
    <w:rsid w:val="002F3A8F"/>
    <w:rsid w:val="002F4887"/>
    <w:rsid w:val="00301319"/>
    <w:rsid w:val="0030139F"/>
    <w:rsid w:val="003042E2"/>
    <w:rsid w:val="00304B36"/>
    <w:rsid w:val="00304B62"/>
    <w:rsid w:val="00306F0E"/>
    <w:rsid w:val="00307ED5"/>
    <w:rsid w:val="00311971"/>
    <w:rsid w:val="00312EC3"/>
    <w:rsid w:val="003207B3"/>
    <w:rsid w:val="00320CF2"/>
    <w:rsid w:val="003213FD"/>
    <w:rsid w:val="00321D04"/>
    <w:rsid w:val="00322F1D"/>
    <w:rsid w:val="00323528"/>
    <w:rsid w:val="00323ADE"/>
    <w:rsid w:val="00325298"/>
    <w:rsid w:val="00325F53"/>
    <w:rsid w:val="0032605F"/>
    <w:rsid w:val="0033098D"/>
    <w:rsid w:val="00331BAD"/>
    <w:rsid w:val="00331BDC"/>
    <w:rsid w:val="003332E2"/>
    <w:rsid w:val="00333666"/>
    <w:rsid w:val="0033535C"/>
    <w:rsid w:val="00335606"/>
    <w:rsid w:val="00335EE8"/>
    <w:rsid w:val="0033667B"/>
    <w:rsid w:val="003402EE"/>
    <w:rsid w:val="003410F2"/>
    <w:rsid w:val="00344074"/>
    <w:rsid w:val="00344BA6"/>
    <w:rsid w:val="003476DB"/>
    <w:rsid w:val="00350A8E"/>
    <w:rsid w:val="0035191B"/>
    <w:rsid w:val="00351B74"/>
    <w:rsid w:val="00352695"/>
    <w:rsid w:val="003533F4"/>
    <w:rsid w:val="00353AFA"/>
    <w:rsid w:val="00356807"/>
    <w:rsid w:val="00360015"/>
    <w:rsid w:val="003605BD"/>
    <w:rsid w:val="00360C4B"/>
    <w:rsid w:val="003624E7"/>
    <w:rsid w:val="003642BC"/>
    <w:rsid w:val="00365F17"/>
    <w:rsid w:val="003660D6"/>
    <w:rsid w:val="003668B2"/>
    <w:rsid w:val="00367A9A"/>
    <w:rsid w:val="0037037D"/>
    <w:rsid w:val="00370E93"/>
    <w:rsid w:val="0037147C"/>
    <w:rsid w:val="0037605F"/>
    <w:rsid w:val="00376474"/>
    <w:rsid w:val="0037779A"/>
    <w:rsid w:val="00383CF0"/>
    <w:rsid w:val="0038491A"/>
    <w:rsid w:val="00384CFD"/>
    <w:rsid w:val="00385FCA"/>
    <w:rsid w:val="00386CED"/>
    <w:rsid w:val="00390894"/>
    <w:rsid w:val="00390E1E"/>
    <w:rsid w:val="00390FFB"/>
    <w:rsid w:val="00391853"/>
    <w:rsid w:val="00393A1D"/>
    <w:rsid w:val="00395A9F"/>
    <w:rsid w:val="00397BD5"/>
    <w:rsid w:val="003A3C41"/>
    <w:rsid w:val="003A65F5"/>
    <w:rsid w:val="003A7111"/>
    <w:rsid w:val="003B1029"/>
    <w:rsid w:val="003B3497"/>
    <w:rsid w:val="003B3E26"/>
    <w:rsid w:val="003B6285"/>
    <w:rsid w:val="003B676B"/>
    <w:rsid w:val="003B681A"/>
    <w:rsid w:val="003B6A75"/>
    <w:rsid w:val="003B6D4D"/>
    <w:rsid w:val="003B7130"/>
    <w:rsid w:val="003B765C"/>
    <w:rsid w:val="003C0D3E"/>
    <w:rsid w:val="003C2328"/>
    <w:rsid w:val="003C26D3"/>
    <w:rsid w:val="003C2C42"/>
    <w:rsid w:val="003C3F72"/>
    <w:rsid w:val="003C736B"/>
    <w:rsid w:val="003D157B"/>
    <w:rsid w:val="003D200B"/>
    <w:rsid w:val="003D24C0"/>
    <w:rsid w:val="003D33D4"/>
    <w:rsid w:val="003D3CCB"/>
    <w:rsid w:val="003E0DCD"/>
    <w:rsid w:val="003E203B"/>
    <w:rsid w:val="003E2A48"/>
    <w:rsid w:val="003E3088"/>
    <w:rsid w:val="003E53B5"/>
    <w:rsid w:val="003E5E31"/>
    <w:rsid w:val="003E6595"/>
    <w:rsid w:val="003F01FF"/>
    <w:rsid w:val="003F0935"/>
    <w:rsid w:val="003F20C7"/>
    <w:rsid w:val="003F36DF"/>
    <w:rsid w:val="003F4D37"/>
    <w:rsid w:val="003F6873"/>
    <w:rsid w:val="003F69BC"/>
    <w:rsid w:val="004005CB"/>
    <w:rsid w:val="004016B0"/>
    <w:rsid w:val="00402AE7"/>
    <w:rsid w:val="00405F15"/>
    <w:rsid w:val="00406180"/>
    <w:rsid w:val="00406691"/>
    <w:rsid w:val="00407495"/>
    <w:rsid w:val="00410BA0"/>
    <w:rsid w:val="004112EA"/>
    <w:rsid w:val="004116DF"/>
    <w:rsid w:val="004138D8"/>
    <w:rsid w:val="00414D41"/>
    <w:rsid w:val="00415619"/>
    <w:rsid w:val="004158FA"/>
    <w:rsid w:val="00416901"/>
    <w:rsid w:val="00421046"/>
    <w:rsid w:val="004222A0"/>
    <w:rsid w:val="004225D4"/>
    <w:rsid w:val="00423601"/>
    <w:rsid w:val="00424C4E"/>
    <w:rsid w:val="00426439"/>
    <w:rsid w:val="00431553"/>
    <w:rsid w:val="0043160C"/>
    <w:rsid w:val="00431C9F"/>
    <w:rsid w:val="00432A0E"/>
    <w:rsid w:val="00432D10"/>
    <w:rsid w:val="00434194"/>
    <w:rsid w:val="0043491F"/>
    <w:rsid w:val="00434FB7"/>
    <w:rsid w:val="004458E0"/>
    <w:rsid w:val="00445B58"/>
    <w:rsid w:val="0044615E"/>
    <w:rsid w:val="0044637A"/>
    <w:rsid w:val="00451570"/>
    <w:rsid w:val="00451AEB"/>
    <w:rsid w:val="004555D7"/>
    <w:rsid w:val="0045775C"/>
    <w:rsid w:val="00462F18"/>
    <w:rsid w:val="00464235"/>
    <w:rsid w:val="00464F9E"/>
    <w:rsid w:val="0046555B"/>
    <w:rsid w:val="00470E7B"/>
    <w:rsid w:val="004732B0"/>
    <w:rsid w:val="004751C0"/>
    <w:rsid w:val="004768BF"/>
    <w:rsid w:val="0048037A"/>
    <w:rsid w:val="00480F16"/>
    <w:rsid w:val="00482D09"/>
    <w:rsid w:val="00483DE8"/>
    <w:rsid w:val="004856E3"/>
    <w:rsid w:val="00485CC0"/>
    <w:rsid w:val="00485E18"/>
    <w:rsid w:val="00486ECD"/>
    <w:rsid w:val="00487719"/>
    <w:rsid w:val="00491EF3"/>
    <w:rsid w:val="00497815"/>
    <w:rsid w:val="004A4B58"/>
    <w:rsid w:val="004A4EE7"/>
    <w:rsid w:val="004A5603"/>
    <w:rsid w:val="004A5EE5"/>
    <w:rsid w:val="004A5F4B"/>
    <w:rsid w:val="004A6C7B"/>
    <w:rsid w:val="004B09A8"/>
    <w:rsid w:val="004B1D63"/>
    <w:rsid w:val="004B3DF6"/>
    <w:rsid w:val="004B43B4"/>
    <w:rsid w:val="004C0052"/>
    <w:rsid w:val="004C0B57"/>
    <w:rsid w:val="004C1F28"/>
    <w:rsid w:val="004C39F8"/>
    <w:rsid w:val="004D21B7"/>
    <w:rsid w:val="004D354C"/>
    <w:rsid w:val="004D48E8"/>
    <w:rsid w:val="004D528F"/>
    <w:rsid w:val="004D65FA"/>
    <w:rsid w:val="004D7208"/>
    <w:rsid w:val="004E11AA"/>
    <w:rsid w:val="004E1CBE"/>
    <w:rsid w:val="004E2365"/>
    <w:rsid w:val="004E3092"/>
    <w:rsid w:val="004E4FA1"/>
    <w:rsid w:val="004E6036"/>
    <w:rsid w:val="004E62BA"/>
    <w:rsid w:val="004F0815"/>
    <w:rsid w:val="004F2F8A"/>
    <w:rsid w:val="004F480A"/>
    <w:rsid w:val="005006DC"/>
    <w:rsid w:val="00501558"/>
    <w:rsid w:val="00501E07"/>
    <w:rsid w:val="00503DEC"/>
    <w:rsid w:val="00505CF5"/>
    <w:rsid w:val="00506115"/>
    <w:rsid w:val="005077D2"/>
    <w:rsid w:val="005129AE"/>
    <w:rsid w:val="0051485E"/>
    <w:rsid w:val="00515152"/>
    <w:rsid w:val="00515188"/>
    <w:rsid w:val="00517881"/>
    <w:rsid w:val="0052014F"/>
    <w:rsid w:val="00520A9E"/>
    <w:rsid w:val="00521535"/>
    <w:rsid w:val="00522330"/>
    <w:rsid w:val="005224C8"/>
    <w:rsid w:val="00523B3D"/>
    <w:rsid w:val="00524124"/>
    <w:rsid w:val="00525441"/>
    <w:rsid w:val="00525640"/>
    <w:rsid w:val="00526A7F"/>
    <w:rsid w:val="00526FD9"/>
    <w:rsid w:val="00530122"/>
    <w:rsid w:val="00530958"/>
    <w:rsid w:val="00531B1A"/>
    <w:rsid w:val="00531B83"/>
    <w:rsid w:val="0053253E"/>
    <w:rsid w:val="00533C82"/>
    <w:rsid w:val="00534D36"/>
    <w:rsid w:val="00537382"/>
    <w:rsid w:val="00537739"/>
    <w:rsid w:val="00537857"/>
    <w:rsid w:val="00540E85"/>
    <w:rsid w:val="00545BF3"/>
    <w:rsid w:val="0054669C"/>
    <w:rsid w:val="005515D8"/>
    <w:rsid w:val="00552891"/>
    <w:rsid w:val="00553F71"/>
    <w:rsid w:val="005545F4"/>
    <w:rsid w:val="00554A85"/>
    <w:rsid w:val="00556ED0"/>
    <w:rsid w:val="005577C6"/>
    <w:rsid w:val="005600B5"/>
    <w:rsid w:val="00561249"/>
    <w:rsid w:val="00561740"/>
    <w:rsid w:val="00561939"/>
    <w:rsid w:val="00561E4C"/>
    <w:rsid w:val="00562911"/>
    <w:rsid w:val="00567350"/>
    <w:rsid w:val="00573C68"/>
    <w:rsid w:val="00573F60"/>
    <w:rsid w:val="00592438"/>
    <w:rsid w:val="005A2F5A"/>
    <w:rsid w:val="005A33A7"/>
    <w:rsid w:val="005A3761"/>
    <w:rsid w:val="005A3E76"/>
    <w:rsid w:val="005A5655"/>
    <w:rsid w:val="005A6557"/>
    <w:rsid w:val="005A69D8"/>
    <w:rsid w:val="005A6E2B"/>
    <w:rsid w:val="005A7ECC"/>
    <w:rsid w:val="005B14F1"/>
    <w:rsid w:val="005B37AB"/>
    <w:rsid w:val="005B43B0"/>
    <w:rsid w:val="005B5B62"/>
    <w:rsid w:val="005B7520"/>
    <w:rsid w:val="005C1524"/>
    <w:rsid w:val="005C1DC9"/>
    <w:rsid w:val="005C21D9"/>
    <w:rsid w:val="005C2DE8"/>
    <w:rsid w:val="005C4C54"/>
    <w:rsid w:val="005C52C8"/>
    <w:rsid w:val="005C6AFF"/>
    <w:rsid w:val="005C6E14"/>
    <w:rsid w:val="005C72B8"/>
    <w:rsid w:val="005D0660"/>
    <w:rsid w:val="005D0893"/>
    <w:rsid w:val="005D0B85"/>
    <w:rsid w:val="005D141F"/>
    <w:rsid w:val="005D1451"/>
    <w:rsid w:val="005D14D3"/>
    <w:rsid w:val="005D3ED8"/>
    <w:rsid w:val="005D521D"/>
    <w:rsid w:val="005D5C51"/>
    <w:rsid w:val="005D694F"/>
    <w:rsid w:val="005D7411"/>
    <w:rsid w:val="005E1512"/>
    <w:rsid w:val="005E2209"/>
    <w:rsid w:val="005E3E2D"/>
    <w:rsid w:val="005E5697"/>
    <w:rsid w:val="005F3716"/>
    <w:rsid w:val="006036E5"/>
    <w:rsid w:val="00611D2B"/>
    <w:rsid w:val="00612C66"/>
    <w:rsid w:val="00614431"/>
    <w:rsid w:val="00615542"/>
    <w:rsid w:val="00616B64"/>
    <w:rsid w:val="006175B7"/>
    <w:rsid w:val="00621914"/>
    <w:rsid w:val="0062360E"/>
    <w:rsid w:val="00624AB7"/>
    <w:rsid w:val="00626455"/>
    <w:rsid w:val="00627867"/>
    <w:rsid w:val="00627900"/>
    <w:rsid w:val="00630A78"/>
    <w:rsid w:val="00632D01"/>
    <w:rsid w:val="00632F9E"/>
    <w:rsid w:val="00633417"/>
    <w:rsid w:val="0063356E"/>
    <w:rsid w:val="006351CD"/>
    <w:rsid w:val="006352F7"/>
    <w:rsid w:val="006368F2"/>
    <w:rsid w:val="006454DD"/>
    <w:rsid w:val="00646E02"/>
    <w:rsid w:val="00647920"/>
    <w:rsid w:val="00650596"/>
    <w:rsid w:val="006511A8"/>
    <w:rsid w:val="00656F02"/>
    <w:rsid w:val="00660913"/>
    <w:rsid w:val="0066156D"/>
    <w:rsid w:val="00662A81"/>
    <w:rsid w:val="00663525"/>
    <w:rsid w:val="00667E2B"/>
    <w:rsid w:val="00672677"/>
    <w:rsid w:val="006733D8"/>
    <w:rsid w:val="00673AED"/>
    <w:rsid w:val="00676615"/>
    <w:rsid w:val="00676896"/>
    <w:rsid w:val="00677F19"/>
    <w:rsid w:val="00683775"/>
    <w:rsid w:val="006840EB"/>
    <w:rsid w:val="00684F47"/>
    <w:rsid w:val="00687708"/>
    <w:rsid w:val="00690FCD"/>
    <w:rsid w:val="00691138"/>
    <w:rsid w:val="00691198"/>
    <w:rsid w:val="00692284"/>
    <w:rsid w:val="00692FA1"/>
    <w:rsid w:val="00692FEC"/>
    <w:rsid w:val="00694388"/>
    <w:rsid w:val="0069718F"/>
    <w:rsid w:val="006A1FA1"/>
    <w:rsid w:val="006A2037"/>
    <w:rsid w:val="006A315B"/>
    <w:rsid w:val="006A340E"/>
    <w:rsid w:val="006A3CD9"/>
    <w:rsid w:val="006A4DB1"/>
    <w:rsid w:val="006A5BA3"/>
    <w:rsid w:val="006A7268"/>
    <w:rsid w:val="006B0948"/>
    <w:rsid w:val="006B35F0"/>
    <w:rsid w:val="006B3AF0"/>
    <w:rsid w:val="006B405A"/>
    <w:rsid w:val="006B6D85"/>
    <w:rsid w:val="006C0867"/>
    <w:rsid w:val="006C118A"/>
    <w:rsid w:val="006C1D52"/>
    <w:rsid w:val="006C2F1B"/>
    <w:rsid w:val="006C3CD7"/>
    <w:rsid w:val="006C52FC"/>
    <w:rsid w:val="006D0E22"/>
    <w:rsid w:val="006D3AAD"/>
    <w:rsid w:val="006D5187"/>
    <w:rsid w:val="006D534B"/>
    <w:rsid w:val="006D6D22"/>
    <w:rsid w:val="006D7447"/>
    <w:rsid w:val="006E08D9"/>
    <w:rsid w:val="006E3F0A"/>
    <w:rsid w:val="006E4C06"/>
    <w:rsid w:val="006E6D7A"/>
    <w:rsid w:val="006F04E8"/>
    <w:rsid w:val="006F06A5"/>
    <w:rsid w:val="006F1E22"/>
    <w:rsid w:val="006F4450"/>
    <w:rsid w:val="006F6131"/>
    <w:rsid w:val="006F6771"/>
    <w:rsid w:val="006F763C"/>
    <w:rsid w:val="007021A5"/>
    <w:rsid w:val="007029A8"/>
    <w:rsid w:val="007031C4"/>
    <w:rsid w:val="00704BC3"/>
    <w:rsid w:val="00711684"/>
    <w:rsid w:val="00713B9F"/>
    <w:rsid w:val="007141AF"/>
    <w:rsid w:val="007160A0"/>
    <w:rsid w:val="007161E9"/>
    <w:rsid w:val="00716449"/>
    <w:rsid w:val="00723AAF"/>
    <w:rsid w:val="0072506C"/>
    <w:rsid w:val="007252C6"/>
    <w:rsid w:val="00727198"/>
    <w:rsid w:val="007277E0"/>
    <w:rsid w:val="00730780"/>
    <w:rsid w:val="00733618"/>
    <w:rsid w:val="007337B7"/>
    <w:rsid w:val="00733EF9"/>
    <w:rsid w:val="00736183"/>
    <w:rsid w:val="0073678B"/>
    <w:rsid w:val="00737BE4"/>
    <w:rsid w:val="00740857"/>
    <w:rsid w:val="00740D47"/>
    <w:rsid w:val="0074270A"/>
    <w:rsid w:val="00742AB1"/>
    <w:rsid w:val="0074456D"/>
    <w:rsid w:val="00744940"/>
    <w:rsid w:val="007479E9"/>
    <w:rsid w:val="00747E3B"/>
    <w:rsid w:val="00752BF0"/>
    <w:rsid w:val="007531CE"/>
    <w:rsid w:val="007537A0"/>
    <w:rsid w:val="007553C0"/>
    <w:rsid w:val="007554B7"/>
    <w:rsid w:val="00756D3F"/>
    <w:rsid w:val="00757055"/>
    <w:rsid w:val="00760C79"/>
    <w:rsid w:val="00760D63"/>
    <w:rsid w:val="00762AB4"/>
    <w:rsid w:val="00763BBB"/>
    <w:rsid w:val="00763F23"/>
    <w:rsid w:val="007673ED"/>
    <w:rsid w:val="00767605"/>
    <w:rsid w:val="00767B9A"/>
    <w:rsid w:val="00770529"/>
    <w:rsid w:val="00770D9D"/>
    <w:rsid w:val="007710AB"/>
    <w:rsid w:val="00772CEA"/>
    <w:rsid w:val="0078325A"/>
    <w:rsid w:val="00783419"/>
    <w:rsid w:val="00784D81"/>
    <w:rsid w:val="00785848"/>
    <w:rsid w:val="00792220"/>
    <w:rsid w:val="007931AD"/>
    <w:rsid w:val="00793200"/>
    <w:rsid w:val="00793318"/>
    <w:rsid w:val="00794134"/>
    <w:rsid w:val="007953E2"/>
    <w:rsid w:val="00796DB9"/>
    <w:rsid w:val="007972BD"/>
    <w:rsid w:val="00797886"/>
    <w:rsid w:val="007A3D6D"/>
    <w:rsid w:val="007A5114"/>
    <w:rsid w:val="007A7572"/>
    <w:rsid w:val="007B2595"/>
    <w:rsid w:val="007B4CC1"/>
    <w:rsid w:val="007B4D62"/>
    <w:rsid w:val="007B6B67"/>
    <w:rsid w:val="007C07ED"/>
    <w:rsid w:val="007C10F9"/>
    <w:rsid w:val="007C209C"/>
    <w:rsid w:val="007C279A"/>
    <w:rsid w:val="007C4C41"/>
    <w:rsid w:val="007C5B28"/>
    <w:rsid w:val="007C653F"/>
    <w:rsid w:val="007C70B0"/>
    <w:rsid w:val="007C786C"/>
    <w:rsid w:val="007C7F12"/>
    <w:rsid w:val="007D0B49"/>
    <w:rsid w:val="007D5454"/>
    <w:rsid w:val="007D6486"/>
    <w:rsid w:val="007E08F6"/>
    <w:rsid w:val="007E0DF3"/>
    <w:rsid w:val="007E12AD"/>
    <w:rsid w:val="007E191A"/>
    <w:rsid w:val="007E1B74"/>
    <w:rsid w:val="007E1F4F"/>
    <w:rsid w:val="007E3C57"/>
    <w:rsid w:val="007E46F1"/>
    <w:rsid w:val="007E4ADD"/>
    <w:rsid w:val="007E56A1"/>
    <w:rsid w:val="007E6ACC"/>
    <w:rsid w:val="007E6FC9"/>
    <w:rsid w:val="007F0A1A"/>
    <w:rsid w:val="007F0C42"/>
    <w:rsid w:val="007F1143"/>
    <w:rsid w:val="007F12C2"/>
    <w:rsid w:val="007F161B"/>
    <w:rsid w:val="007F25BF"/>
    <w:rsid w:val="007F3B86"/>
    <w:rsid w:val="007F4E56"/>
    <w:rsid w:val="007F5A1F"/>
    <w:rsid w:val="007F7875"/>
    <w:rsid w:val="00800165"/>
    <w:rsid w:val="00801D0E"/>
    <w:rsid w:val="00804000"/>
    <w:rsid w:val="00805AF4"/>
    <w:rsid w:val="008113AF"/>
    <w:rsid w:val="00811B7D"/>
    <w:rsid w:val="00815074"/>
    <w:rsid w:val="00815D13"/>
    <w:rsid w:val="00816E0E"/>
    <w:rsid w:val="00821A13"/>
    <w:rsid w:val="00822383"/>
    <w:rsid w:val="00824870"/>
    <w:rsid w:val="0082558F"/>
    <w:rsid w:val="00827C46"/>
    <w:rsid w:val="00832CEB"/>
    <w:rsid w:val="00840734"/>
    <w:rsid w:val="008445CC"/>
    <w:rsid w:val="00845FD8"/>
    <w:rsid w:val="008517C6"/>
    <w:rsid w:val="00853F53"/>
    <w:rsid w:val="0085603B"/>
    <w:rsid w:val="00857231"/>
    <w:rsid w:val="00860322"/>
    <w:rsid w:val="008611C3"/>
    <w:rsid w:val="008622CE"/>
    <w:rsid w:val="00864E80"/>
    <w:rsid w:val="00865DB8"/>
    <w:rsid w:val="00866943"/>
    <w:rsid w:val="00870C4F"/>
    <w:rsid w:val="00874972"/>
    <w:rsid w:val="00875804"/>
    <w:rsid w:val="00884C18"/>
    <w:rsid w:val="0088608E"/>
    <w:rsid w:val="008864E7"/>
    <w:rsid w:val="0088676E"/>
    <w:rsid w:val="008900F7"/>
    <w:rsid w:val="0089028B"/>
    <w:rsid w:val="0089063E"/>
    <w:rsid w:val="0089105F"/>
    <w:rsid w:val="008912BF"/>
    <w:rsid w:val="00891423"/>
    <w:rsid w:val="00892368"/>
    <w:rsid w:val="008934FD"/>
    <w:rsid w:val="008963D3"/>
    <w:rsid w:val="008A33C5"/>
    <w:rsid w:val="008A4030"/>
    <w:rsid w:val="008A40CE"/>
    <w:rsid w:val="008A4951"/>
    <w:rsid w:val="008A6A0D"/>
    <w:rsid w:val="008B1EBD"/>
    <w:rsid w:val="008B3776"/>
    <w:rsid w:val="008B4669"/>
    <w:rsid w:val="008B4E81"/>
    <w:rsid w:val="008B5CB0"/>
    <w:rsid w:val="008B6451"/>
    <w:rsid w:val="008B6F3F"/>
    <w:rsid w:val="008C063E"/>
    <w:rsid w:val="008C0AB8"/>
    <w:rsid w:val="008C163B"/>
    <w:rsid w:val="008C22BA"/>
    <w:rsid w:val="008C45F8"/>
    <w:rsid w:val="008C5B3F"/>
    <w:rsid w:val="008C5E42"/>
    <w:rsid w:val="008C63A2"/>
    <w:rsid w:val="008C67C4"/>
    <w:rsid w:val="008D0A18"/>
    <w:rsid w:val="008D1CBD"/>
    <w:rsid w:val="008D4946"/>
    <w:rsid w:val="008D5FBA"/>
    <w:rsid w:val="008D64D2"/>
    <w:rsid w:val="008D7CD7"/>
    <w:rsid w:val="008E1682"/>
    <w:rsid w:val="008E311E"/>
    <w:rsid w:val="008F27CF"/>
    <w:rsid w:val="008F47FD"/>
    <w:rsid w:val="008F4F50"/>
    <w:rsid w:val="008F5078"/>
    <w:rsid w:val="008F5156"/>
    <w:rsid w:val="008F5CF0"/>
    <w:rsid w:val="008F73D7"/>
    <w:rsid w:val="00900DB2"/>
    <w:rsid w:val="00901A6E"/>
    <w:rsid w:val="00901DE0"/>
    <w:rsid w:val="0090232F"/>
    <w:rsid w:val="00902EE2"/>
    <w:rsid w:val="00903F80"/>
    <w:rsid w:val="00905E9C"/>
    <w:rsid w:val="009061EC"/>
    <w:rsid w:val="0090630C"/>
    <w:rsid w:val="009064E1"/>
    <w:rsid w:val="00907E8A"/>
    <w:rsid w:val="009105F2"/>
    <w:rsid w:val="00911084"/>
    <w:rsid w:val="009111A3"/>
    <w:rsid w:val="00913B10"/>
    <w:rsid w:val="00914259"/>
    <w:rsid w:val="00914B91"/>
    <w:rsid w:val="00916B6C"/>
    <w:rsid w:val="009178C0"/>
    <w:rsid w:val="00922F4B"/>
    <w:rsid w:val="009248E6"/>
    <w:rsid w:val="0092548F"/>
    <w:rsid w:val="00925EBF"/>
    <w:rsid w:val="0092651D"/>
    <w:rsid w:val="00926844"/>
    <w:rsid w:val="00926D40"/>
    <w:rsid w:val="009301F7"/>
    <w:rsid w:val="00933677"/>
    <w:rsid w:val="00937954"/>
    <w:rsid w:val="009425CD"/>
    <w:rsid w:val="009431D7"/>
    <w:rsid w:val="009446F9"/>
    <w:rsid w:val="009472AF"/>
    <w:rsid w:val="009517D7"/>
    <w:rsid w:val="00953F68"/>
    <w:rsid w:val="00954201"/>
    <w:rsid w:val="00956ED1"/>
    <w:rsid w:val="0095746C"/>
    <w:rsid w:val="009604E3"/>
    <w:rsid w:val="00963481"/>
    <w:rsid w:val="009637E8"/>
    <w:rsid w:val="009645E5"/>
    <w:rsid w:val="00966AF5"/>
    <w:rsid w:val="0097019E"/>
    <w:rsid w:val="009743B8"/>
    <w:rsid w:val="00975D0F"/>
    <w:rsid w:val="00976B88"/>
    <w:rsid w:val="00981B8A"/>
    <w:rsid w:val="00986BAD"/>
    <w:rsid w:val="00991B60"/>
    <w:rsid w:val="009925CF"/>
    <w:rsid w:val="009A19AF"/>
    <w:rsid w:val="009A1A92"/>
    <w:rsid w:val="009A3DAD"/>
    <w:rsid w:val="009A4902"/>
    <w:rsid w:val="009A4D3A"/>
    <w:rsid w:val="009B1F90"/>
    <w:rsid w:val="009B2401"/>
    <w:rsid w:val="009B2743"/>
    <w:rsid w:val="009B28F7"/>
    <w:rsid w:val="009B2A24"/>
    <w:rsid w:val="009B4E6D"/>
    <w:rsid w:val="009B64DC"/>
    <w:rsid w:val="009C230A"/>
    <w:rsid w:val="009C2B2E"/>
    <w:rsid w:val="009C3273"/>
    <w:rsid w:val="009C3E6F"/>
    <w:rsid w:val="009C42AB"/>
    <w:rsid w:val="009C6EC7"/>
    <w:rsid w:val="009D0528"/>
    <w:rsid w:val="009D0EB5"/>
    <w:rsid w:val="009D101B"/>
    <w:rsid w:val="009D2136"/>
    <w:rsid w:val="009D3DC5"/>
    <w:rsid w:val="009D3F00"/>
    <w:rsid w:val="009D4A04"/>
    <w:rsid w:val="009D5F33"/>
    <w:rsid w:val="009D61BB"/>
    <w:rsid w:val="009D661B"/>
    <w:rsid w:val="009D7C82"/>
    <w:rsid w:val="009D7FE8"/>
    <w:rsid w:val="009E0C27"/>
    <w:rsid w:val="009E1F59"/>
    <w:rsid w:val="009E2315"/>
    <w:rsid w:val="009E3385"/>
    <w:rsid w:val="009E37A2"/>
    <w:rsid w:val="009E4F41"/>
    <w:rsid w:val="009E70D3"/>
    <w:rsid w:val="009F5A0F"/>
    <w:rsid w:val="00A007A0"/>
    <w:rsid w:val="00A0352A"/>
    <w:rsid w:val="00A10353"/>
    <w:rsid w:val="00A1093B"/>
    <w:rsid w:val="00A112D3"/>
    <w:rsid w:val="00A116AA"/>
    <w:rsid w:val="00A1340C"/>
    <w:rsid w:val="00A13B7C"/>
    <w:rsid w:val="00A150F7"/>
    <w:rsid w:val="00A160D0"/>
    <w:rsid w:val="00A16F4F"/>
    <w:rsid w:val="00A16F8A"/>
    <w:rsid w:val="00A17094"/>
    <w:rsid w:val="00A20036"/>
    <w:rsid w:val="00A2163D"/>
    <w:rsid w:val="00A229A0"/>
    <w:rsid w:val="00A238DE"/>
    <w:rsid w:val="00A2505F"/>
    <w:rsid w:val="00A25528"/>
    <w:rsid w:val="00A27342"/>
    <w:rsid w:val="00A31C68"/>
    <w:rsid w:val="00A3288F"/>
    <w:rsid w:val="00A337F0"/>
    <w:rsid w:val="00A3396A"/>
    <w:rsid w:val="00A36396"/>
    <w:rsid w:val="00A400FE"/>
    <w:rsid w:val="00A42898"/>
    <w:rsid w:val="00A42C7D"/>
    <w:rsid w:val="00A42E16"/>
    <w:rsid w:val="00A44E88"/>
    <w:rsid w:val="00A4501C"/>
    <w:rsid w:val="00A46253"/>
    <w:rsid w:val="00A47647"/>
    <w:rsid w:val="00A47811"/>
    <w:rsid w:val="00A4789C"/>
    <w:rsid w:val="00A47B55"/>
    <w:rsid w:val="00A504DB"/>
    <w:rsid w:val="00A50EE7"/>
    <w:rsid w:val="00A5106A"/>
    <w:rsid w:val="00A52035"/>
    <w:rsid w:val="00A527BA"/>
    <w:rsid w:val="00A540DA"/>
    <w:rsid w:val="00A54132"/>
    <w:rsid w:val="00A55D2E"/>
    <w:rsid w:val="00A5736E"/>
    <w:rsid w:val="00A62192"/>
    <w:rsid w:val="00A65029"/>
    <w:rsid w:val="00A6587D"/>
    <w:rsid w:val="00A66C00"/>
    <w:rsid w:val="00A7085A"/>
    <w:rsid w:val="00A72B4E"/>
    <w:rsid w:val="00A777DE"/>
    <w:rsid w:val="00A80336"/>
    <w:rsid w:val="00A8142C"/>
    <w:rsid w:val="00A81783"/>
    <w:rsid w:val="00A86801"/>
    <w:rsid w:val="00A9350E"/>
    <w:rsid w:val="00A939C1"/>
    <w:rsid w:val="00A958AE"/>
    <w:rsid w:val="00A961AA"/>
    <w:rsid w:val="00AA19AD"/>
    <w:rsid w:val="00AA2172"/>
    <w:rsid w:val="00AA3343"/>
    <w:rsid w:val="00AA3F8C"/>
    <w:rsid w:val="00AA5BE6"/>
    <w:rsid w:val="00AA61DE"/>
    <w:rsid w:val="00AB0A08"/>
    <w:rsid w:val="00AB1453"/>
    <w:rsid w:val="00AB3A4B"/>
    <w:rsid w:val="00AB4F3A"/>
    <w:rsid w:val="00AB5059"/>
    <w:rsid w:val="00AB7D2C"/>
    <w:rsid w:val="00AC122C"/>
    <w:rsid w:val="00AC1A0A"/>
    <w:rsid w:val="00AC4D1F"/>
    <w:rsid w:val="00AC4DFB"/>
    <w:rsid w:val="00AC5083"/>
    <w:rsid w:val="00AC5220"/>
    <w:rsid w:val="00AC644E"/>
    <w:rsid w:val="00AC727C"/>
    <w:rsid w:val="00AD1048"/>
    <w:rsid w:val="00AD31D0"/>
    <w:rsid w:val="00AD31D5"/>
    <w:rsid w:val="00AE0488"/>
    <w:rsid w:val="00AE0E61"/>
    <w:rsid w:val="00AE1BD1"/>
    <w:rsid w:val="00AE33AF"/>
    <w:rsid w:val="00AE6C69"/>
    <w:rsid w:val="00AF174A"/>
    <w:rsid w:val="00AF45F4"/>
    <w:rsid w:val="00AF4FC3"/>
    <w:rsid w:val="00AF58C9"/>
    <w:rsid w:val="00AF5D4F"/>
    <w:rsid w:val="00AF6366"/>
    <w:rsid w:val="00AF63A6"/>
    <w:rsid w:val="00AF6E8C"/>
    <w:rsid w:val="00B023E2"/>
    <w:rsid w:val="00B04854"/>
    <w:rsid w:val="00B05C99"/>
    <w:rsid w:val="00B0688C"/>
    <w:rsid w:val="00B073D8"/>
    <w:rsid w:val="00B12848"/>
    <w:rsid w:val="00B1361F"/>
    <w:rsid w:val="00B24B5A"/>
    <w:rsid w:val="00B272AE"/>
    <w:rsid w:val="00B27697"/>
    <w:rsid w:val="00B30396"/>
    <w:rsid w:val="00B303E4"/>
    <w:rsid w:val="00B329E1"/>
    <w:rsid w:val="00B32C44"/>
    <w:rsid w:val="00B359EC"/>
    <w:rsid w:val="00B361F8"/>
    <w:rsid w:val="00B36E33"/>
    <w:rsid w:val="00B403B1"/>
    <w:rsid w:val="00B4084C"/>
    <w:rsid w:val="00B4658F"/>
    <w:rsid w:val="00B46D34"/>
    <w:rsid w:val="00B47EEB"/>
    <w:rsid w:val="00B518D1"/>
    <w:rsid w:val="00B520A9"/>
    <w:rsid w:val="00B543A1"/>
    <w:rsid w:val="00B54EE6"/>
    <w:rsid w:val="00B576FC"/>
    <w:rsid w:val="00B6142E"/>
    <w:rsid w:val="00B62610"/>
    <w:rsid w:val="00B62A7B"/>
    <w:rsid w:val="00B63A2F"/>
    <w:rsid w:val="00B64272"/>
    <w:rsid w:val="00B651C4"/>
    <w:rsid w:val="00B65C30"/>
    <w:rsid w:val="00B66E85"/>
    <w:rsid w:val="00B73BD8"/>
    <w:rsid w:val="00B749EC"/>
    <w:rsid w:val="00B75928"/>
    <w:rsid w:val="00B7624F"/>
    <w:rsid w:val="00B81660"/>
    <w:rsid w:val="00B82798"/>
    <w:rsid w:val="00B8328E"/>
    <w:rsid w:val="00B84148"/>
    <w:rsid w:val="00B847F0"/>
    <w:rsid w:val="00B851F0"/>
    <w:rsid w:val="00B86562"/>
    <w:rsid w:val="00B86E00"/>
    <w:rsid w:val="00B877F7"/>
    <w:rsid w:val="00B914E9"/>
    <w:rsid w:val="00B922BB"/>
    <w:rsid w:val="00B92E85"/>
    <w:rsid w:val="00B9322C"/>
    <w:rsid w:val="00B93D77"/>
    <w:rsid w:val="00B95329"/>
    <w:rsid w:val="00B966E9"/>
    <w:rsid w:val="00B97642"/>
    <w:rsid w:val="00B97A8E"/>
    <w:rsid w:val="00BA0178"/>
    <w:rsid w:val="00BA0E5F"/>
    <w:rsid w:val="00BA3E49"/>
    <w:rsid w:val="00BA42C6"/>
    <w:rsid w:val="00BA6E45"/>
    <w:rsid w:val="00BA6ED8"/>
    <w:rsid w:val="00BA70B3"/>
    <w:rsid w:val="00BB00DE"/>
    <w:rsid w:val="00BB0BB9"/>
    <w:rsid w:val="00BB0E09"/>
    <w:rsid w:val="00BB3E81"/>
    <w:rsid w:val="00BB5E11"/>
    <w:rsid w:val="00BB6702"/>
    <w:rsid w:val="00BC1BDA"/>
    <w:rsid w:val="00BC35B6"/>
    <w:rsid w:val="00BC3AD8"/>
    <w:rsid w:val="00BC5578"/>
    <w:rsid w:val="00BC6D7A"/>
    <w:rsid w:val="00BD0A3F"/>
    <w:rsid w:val="00BD12A5"/>
    <w:rsid w:val="00BD12AA"/>
    <w:rsid w:val="00BD16A0"/>
    <w:rsid w:val="00BD5075"/>
    <w:rsid w:val="00BD526B"/>
    <w:rsid w:val="00BD5DD7"/>
    <w:rsid w:val="00BD6BD1"/>
    <w:rsid w:val="00BE10C2"/>
    <w:rsid w:val="00BE1A47"/>
    <w:rsid w:val="00BE1F86"/>
    <w:rsid w:val="00BE384A"/>
    <w:rsid w:val="00BE51B4"/>
    <w:rsid w:val="00BE53BF"/>
    <w:rsid w:val="00BE563D"/>
    <w:rsid w:val="00BE5A0B"/>
    <w:rsid w:val="00BE61D3"/>
    <w:rsid w:val="00BE6EA2"/>
    <w:rsid w:val="00BF04EC"/>
    <w:rsid w:val="00BF1277"/>
    <w:rsid w:val="00BF2219"/>
    <w:rsid w:val="00BF4AF5"/>
    <w:rsid w:val="00C00C15"/>
    <w:rsid w:val="00C020DA"/>
    <w:rsid w:val="00C029E0"/>
    <w:rsid w:val="00C0429F"/>
    <w:rsid w:val="00C04349"/>
    <w:rsid w:val="00C048EE"/>
    <w:rsid w:val="00C0493D"/>
    <w:rsid w:val="00C04B61"/>
    <w:rsid w:val="00C10633"/>
    <w:rsid w:val="00C126DE"/>
    <w:rsid w:val="00C135C5"/>
    <w:rsid w:val="00C2471E"/>
    <w:rsid w:val="00C2481C"/>
    <w:rsid w:val="00C24FC1"/>
    <w:rsid w:val="00C345D6"/>
    <w:rsid w:val="00C36E79"/>
    <w:rsid w:val="00C3791C"/>
    <w:rsid w:val="00C426A8"/>
    <w:rsid w:val="00C42C3C"/>
    <w:rsid w:val="00C43595"/>
    <w:rsid w:val="00C45AA7"/>
    <w:rsid w:val="00C507A2"/>
    <w:rsid w:val="00C51831"/>
    <w:rsid w:val="00C51846"/>
    <w:rsid w:val="00C53029"/>
    <w:rsid w:val="00C554FF"/>
    <w:rsid w:val="00C5577A"/>
    <w:rsid w:val="00C57D09"/>
    <w:rsid w:val="00C60BF1"/>
    <w:rsid w:val="00C636E8"/>
    <w:rsid w:val="00C6432A"/>
    <w:rsid w:val="00C65CE7"/>
    <w:rsid w:val="00C666F1"/>
    <w:rsid w:val="00C6688A"/>
    <w:rsid w:val="00C70184"/>
    <w:rsid w:val="00C727C1"/>
    <w:rsid w:val="00C73944"/>
    <w:rsid w:val="00C73D7B"/>
    <w:rsid w:val="00C76F03"/>
    <w:rsid w:val="00C774C2"/>
    <w:rsid w:val="00C85FAA"/>
    <w:rsid w:val="00C90279"/>
    <w:rsid w:val="00C9124B"/>
    <w:rsid w:val="00C93751"/>
    <w:rsid w:val="00C93D78"/>
    <w:rsid w:val="00C948F3"/>
    <w:rsid w:val="00C951CA"/>
    <w:rsid w:val="00C961D8"/>
    <w:rsid w:val="00C96B5C"/>
    <w:rsid w:val="00C97D3A"/>
    <w:rsid w:val="00CA057C"/>
    <w:rsid w:val="00CA0CB7"/>
    <w:rsid w:val="00CA1E1C"/>
    <w:rsid w:val="00CA3903"/>
    <w:rsid w:val="00CA3A9B"/>
    <w:rsid w:val="00CA771E"/>
    <w:rsid w:val="00CB0B73"/>
    <w:rsid w:val="00CB30E5"/>
    <w:rsid w:val="00CB3C8C"/>
    <w:rsid w:val="00CB4037"/>
    <w:rsid w:val="00CB53B6"/>
    <w:rsid w:val="00CB6E75"/>
    <w:rsid w:val="00CB78E7"/>
    <w:rsid w:val="00CC0261"/>
    <w:rsid w:val="00CC0C1B"/>
    <w:rsid w:val="00CC14A4"/>
    <w:rsid w:val="00CC1D61"/>
    <w:rsid w:val="00CC2941"/>
    <w:rsid w:val="00CC53DC"/>
    <w:rsid w:val="00CD0672"/>
    <w:rsid w:val="00CD1EC6"/>
    <w:rsid w:val="00CD1F45"/>
    <w:rsid w:val="00CD2840"/>
    <w:rsid w:val="00CD3457"/>
    <w:rsid w:val="00CD347A"/>
    <w:rsid w:val="00CD375D"/>
    <w:rsid w:val="00CD4DA3"/>
    <w:rsid w:val="00CD7880"/>
    <w:rsid w:val="00CE12EE"/>
    <w:rsid w:val="00CE29D0"/>
    <w:rsid w:val="00CE3164"/>
    <w:rsid w:val="00CE3337"/>
    <w:rsid w:val="00CF1755"/>
    <w:rsid w:val="00CF514F"/>
    <w:rsid w:val="00CF55B4"/>
    <w:rsid w:val="00CF68BF"/>
    <w:rsid w:val="00CF7373"/>
    <w:rsid w:val="00D003CC"/>
    <w:rsid w:val="00D015F3"/>
    <w:rsid w:val="00D030F8"/>
    <w:rsid w:val="00D036E5"/>
    <w:rsid w:val="00D039F0"/>
    <w:rsid w:val="00D04359"/>
    <w:rsid w:val="00D04524"/>
    <w:rsid w:val="00D04FD4"/>
    <w:rsid w:val="00D05244"/>
    <w:rsid w:val="00D06570"/>
    <w:rsid w:val="00D07B98"/>
    <w:rsid w:val="00D10C7C"/>
    <w:rsid w:val="00D10E97"/>
    <w:rsid w:val="00D125FE"/>
    <w:rsid w:val="00D128D6"/>
    <w:rsid w:val="00D161A2"/>
    <w:rsid w:val="00D1662B"/>
    <w:rsid w:val="00D166EB"/>
    <w:rsid w:val="00D2033D"/>
    <w:rsid w:val="00D2136E"/>
    <w:rsid w:val="00D22669"/>
    <w:rsid w:val="00D25E0C"/>
    <w:rsid w:val="00D26282"/>
    <w:rsid w:val="00D30A44"/>
    <w:rsid w:val="00D322F5"/>
    <w:rsid w:val="00D323B0"/>
    <w:rsid w:val="00D366AD"/>
    <w:rsid w:val="00D37D79"/>
    <w:rsid w:val="00D42CFE"/>
    <w:rsid w:val="00D43DBD"/>
    <w:rsid w:val="00D43E99"/>
    <w:rsid w:val="00D46D01"/>
    <w:rsid w:val="00D474A6"/>
    <w:rsid w:val="00D500BC"/>
    <w:rsid w:val="00D512B9"/>
    <w:rsid w:val="00D53D66"/>
    <w:rsid w:val="00D53F24"/>
    <w:rsid w:val="00D55D27"/>
    <w:rsid w:val="00D57213"/>
    <w:rsid w:val="00D57CA8"/>
    <w:rsid w:val="00D615FE"/>
    <w:rsid w:val="00D621AC"/>
    <w:rsid w:val="00D62881"/>
    <w:rsid w:val="00D6479C"/>
    <w:rsid w:val="00D65723"/>
    <w:rsid w:val="00D66AB7"/>
    <w:rsid w:val="00D71C48"/>
    <w:rsid w:val="00D72F8F"/>
    <w:rsid w:val="00D74528"/>
    <w:rsid w:val="00D75CCE"/>
    <w:rsid w:val="00D774BC"/>
    <w:rsid w:val="00D80973"/>
    <w:rsid w:val="00D81E08"/>
    <w:rsid w:val="00D823F8"/>
    <w:rsid w:val="00D834B1"/>
    <w:rsid w:val="00D8634F"/>
    <w:rsid w:val="00D911B4"/>
    <w:rsid w:val="00D915C0"/>
    <w:rsid w:val="00D918D5"/>
    <w:rsid w:val="00D9379C"/>
    <w:rsid w:val="00D94AFB"/>
    <w:rsid w:val="00D94B72"/>
    <w:rsid w:val="00D961CB"/>
    <w:rsid w:val="00D96AEF"/>
    <w:rsid w:val="00D96C38"/>
    <w:rsid w:val="00DA05CE"/>
    <w:rsid w:val="00DA0674"/>
    <w:rsid w:val="00DA19E5"/>
    <w:rsid w:val="00DA2B2A"/>
    <w:rsid w:val="00DA2C86"/>
    <w:rsid w:val="00DA45D3"/>
    <w:rsid w:val="00DA5FA9"/>
    <w:rsid w:val="00DB0051"/>
    <w:rsid w:val="00DB2D71"/>
    <w:rsid w:val="00DB3E3B"/>
    <w:rsid w:val="00DB5CDF"/>
    <w:rsid w:val="00DB5E18"/>
    <w:rsid w:val="00DC1800"/>
    <w:rsid w:val="00DC42E0"/>
    <w:rsid w:val="00DC5205"/>
    <w:rsid w:val="00DC5423"/>
    <w:rsid w:val="00DC5AAA"/>
    <w:rsid w:val="00DC7514"/>
    <w:rsid w:val="00DC7746"/>
    <w:rsid w:val="00DC7D31"/>
    <w:rsid w:val="00DD2A0C"/>
    <w:rsid w:val="00DD5938"/>
    <w:rsid w:val="00DD624B"/>
    <w:rsid w:val="00DE4446"/>
    <w:rsid w:val="00DE4DC5"/>
    <w:rsid w:val="00DE5170"/>
    <w:rsid w:val="00DE73AA"/>
    <w:rsid w:val="00DF2DBB"/>
    <w:rsid w:val="00DF3628"/>
    <w:rsid w:val="00DF3B81"/>
    <w:rsid w:val="00DF5339"/>
    <w:rsid w:val="00DF6B90"/>
    <w:rsid w:val="00E034E3"/>
    <w:rsid w:val="00E061F0"/>
    <w:rsid w:val="00E07137"/>
    <w:rsid w:val="00E0745A"/>
    <w:rsid w:val="00E10561"/>
    <w:rsid w:val="00E105B3"/>
    <w:rsid w:val="00E10696"/>
    <w:rsid w:val="00E13021"/>
    <w:rsid w:val="00E15641"/>
    <w:rsid w:val="00E17D87"/>
    <w:rsid w:val="00E206B3"/>
    <w:rsid w:val="00E24E03"/>
    <w:rsid w:val="00E259A7"/>
    <w:rsid w:val="00E27826"/>
    <w:rsid w:val="00E3108C"/>
    <w:rsid w:val="00E31D0F"/>
    <w:rsid w:val="00E32834"/>
    <w:rsid w:val="00E342FF"/>
    <w:rsid w:val="00E35463"/>
    <w:rsid w:val="00E43FD1"/>
    <w:rsid w:val="00E44379"/>
    <w:rsid w:val="00E46F00"/>
    <w:rsid w:val="00E51421"/>
    <w:rsid w:val="00E51FB7"/>
    <w:rsid w:val="00E54EBD"/>
    <w:rsid w:val="00E54EEB"/>
    <w:rsid w:val="00E5628E"/>
    <w:rsid w:val="00E5752B"/>
    <w:rsid w:val="00E61BBC"/>
    <w:rsid w:val="00E61BFE"/>
    <w:rsid w:val="00E624B6"/>
    <w:rsid w:val="00E62CC1"/>
    <w:rsid w:val="00E63BA4"/>
    <w:rsid w:val="00E6604F"/>
    <w:rsid w:val="00E70F4E"/>
    <w:rsid w:val="00E713CB"/>
    <w:rsid w:val="00E74172"/>
    <w:rsid w:val="00E744DB"/>
    <w:rsid w:val="00E76E0F"/>
    <w:rsid w:val="00E84A1E"/>
    <w:rsid w:val="00E84EC5"/>
    <w:rsid w:val="00E85CC4"/>
    <w:rsid w:val="00E90798"/>
    <w:rsid w:val="00E92574"/>
    <w:rsid w:val="00E93E32"/>
    <w:rsid w:val="00E958CA"/>
    <w:rsid w:val="00E97308"/>
    <w:rsid w:val="00EA32C6"/>
    <w:rsid w:val="00EA3929"/>
    <w:rsid w:val="00EA4259"/>
    <w:rsid w:val="00EA47EE"/>
    <w:rsid w:val="00EB0196"/>
    <w:rsid w:val="00EB02D5"/>
    <w:rsid w:val="00EB0ACE"/>
    <w:rsid w:val="00EB4354"/>
    <w:rsid w:val="00EB6FBA"/>
    <w:rsid w:val="00EB7180"/>
    <w:rsid w:val="00EB71EA"/>
    <w:rsid w:val="00EC1301"/>
    <w:rsid w:val="00EC1C2F"/>
    <w:rsid w:val="00EC43E2"/>
    <w:rsid w:val="00EC4B9F"/>
    <w:rsid w:val="00EC4F26"/>
    <w:rsid w:val="00ED038F"/>
    <w:rsid w:val="00ED06F7"/>
    <w:rsid w:val="00ED24FD"/>
    <w:rsid w:val="00ED29F1"/>
    <w:rsid w:val="00ED2D64"/>
    <w:rsid w:val="00ED3C86"/>
    <w:rsid w:val="00EE415F"/>
    <w:rsid w:val="00EE4F3A"/>
    <w:rsid w:val="00EE5D11"/>
    <w:rsid w:val="00EE5D37"/>
    <w:rsid w:val="00EE6CFE"/>
    <w:rsid w:val="00EF13A2"/>
    <w:rsid w:val="00EF15E6"/>
    <w:rsid w:val="00EF4DB6"/>
    <w:rsid w:val="00EF532D"/>
    <w:rsid w:val="00EF62C5"/>
    <w:rsid w:val="00F03853"/>
    <w:rsid w:val="00F04D72"/>
    <w:rsid w:val="00F04F9C"/>
    <w:rsid w:val="00F054BA"/>
    <w:rsid w:val="00F070F6"/>
    <w:rsid w:val="00F07509"/>
    <w:rsid w:val="00F0768B"/>
    <w:rsid w:val="00F11354"/>
    <w:rsid w:val="00F13ACC"/>
    <w:rsid w:val="00F14B90"/>
    <w:rsid w:val="00F15D61"/>
    <w:rsid w:val="00F160A3"/>
    <w:rsid w:val="00F21346"/>
    <w:rsid w:val="00F231E6"/>
    <w:rsid w:val="00F23925"/>
    <w:rsid w:val="00F249C6"/>
    <w:rsid w:val="00F25BED"/>
    <w:rsid w:val="00F272EA"/>
    <w:rsid w:val="00F3181C"/>
    <w:rsid w:val="00F3273A"/>
    <w:rsid w:val="00F36521"/>
    <w:rsid w:val="00F36C06"/>
    <w:rsid w:val="00F36CA0"/>
    <w:rsid w:val="00F41638"/>
    <w:rsid w:val="00F46607"/>
    <w:rsid w:val="00F470C4"/>
    <w:rsid w:val="00F502CB"/>
    <w:rsid w:val="00F50A24"/>
    <w:rsid w:val="00F50CDB"/>
    <w:rsid w:val="00F5176C"/>
    <w:rsid w:val="00F51A31"/>
    <w:rsid w:val="00F51C16"/>
    <w:rsid w:val="00F536A4"/>
    <w:rsid w:val="00F5434C"/>
    <w:rsid w:val="00F54479"/>
    <w:rsid w:val="00F64EDD"/>
    <w:rsid w:val="00F673C6"/>
    <w:rsid w:val="00F7218C"/>
    <w:rsid w:val="00F72202"/>
    <w:rsid w:val="00F73870"/>
    <w:rsid w:val="00F73AF0"/>
    <w:rsid w:val="00F748D6"/>
    <w:rsid w:val="00F7529A"/>
    <w:rsid w:val="00F752E4"/>
    <w:rsid w:val="00F75303"/>
    <w:rsid w:val="00F757DA"/>
    <w:rsid w:val="00F775EB"/>
    <w:rsid w:val="00F77D90"/>
    <w:rsid w:val="00F80408"/>
    <w:rsid w:val="00F8162C"/>
    <w:rsid w:val="00F821ED"/>
    <w:rsid w:val="00F83B24"/>
    <w:rsid w:val="00F84CAB"/>
    <w:rsid w:val="00F84EDA"/>
    <w:rsid w:val="00F876F7"/>
    <w:rsid w:val="00F92E5C"/>
    <w:rsid w:val="00F9374B"/>
    <w:rsid w:val="00F93772"/>
    <w:rsid w:val="00F94484"/>
    <w:rsid w:val="00F94DFA"/>
    <w:rsid w:val="00F95300"/>
    <w:rsid w:val="00F97A5E"/>
    <w:rsid w:val="00FA229A"/>
    <w:rsid w:val="00FA2D59"/>
    <w:rsid w:val="00FA3E51"/>
    <w:rsid w:val="00FA646F"/>
    <w:rsid w:val="00FB0519"/>
    <w:rsid w:val="00FB1FC4"/>
    <w:rsid w:val="00FB2BE2"/>
    <w:rsid w:val="00FB32E0"/>
    <w:rsid w:val="00FB3517"/>
    <w:rsid w:val="00FB36BB"/>
    <w:rsid w:val="00FB4155"/>
    <w:rsid w:val="00FB72E4"/>
    <w:rsid w:val="00FC0589"/>
    <w:rsid w:val="00FC0B45"/>
    <w:rsid w:val="00FC10A0"/>
    <w:rsid w:val="00FC46FE"/>
    <w:rsid w:val="00FC5EC9"/>
    <w:rsid w:val="00FC6993"/>
    <w:rsid w:val="00FD42D1"/>
    <w:rsid w:val="00FE10EA"/>
    <w:rsid w:val="00FE1944"/>
    <w:rsid w:val="00FE35B8"/>
    <w:rsid w:val="00FF0C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F78F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rFonts w:ascii="Arial" w:hAnsi="Arial"/>
      <w:sz w:val="22"/>
      <w:lang w:eastAsia="en-US"/>
    </w:rPr>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qFormat/>
    <w:pPr>
      <w:outlineLvl w:val="1"/>
    </w:pPr>
  </w:style>
  <w:style w:type="paragraph" w:styleId="Heading3">
    <w:name w:val="heading 3"/>
    <w:basedOn w:val="Normal"/>
    <w:next w:val="Normal"/>
    <w:uiPriority w:val="9"/>
    <w:qFormat/>
    <w:pPr>
      <w:outlineLvl w:val="2"/>
    </w:pPr>
  </w:style>
  <w:style w:type="paragraph" w:styleId="Heading4">
    <w:name w:val="heading 4"/>
    <w:basedOn w:val="Normal"/>
    <w:next w:val="Normal"/>
    <w:uiPriority w:val="9"/>
    <w:qFormat/>
    <w:pPr>
      <w:outlineLvl w:val="3"/>
    </w:pPr>
  </w:style>
  <w:style w:type="paragraph" w:styleId="Heading5">
    <w:name w:val="heading 5"/>
    <w:basedOn w:val="Normal"/>
    <w:next w:val="Normal"/>
    <w:link w:val="Heading5Char"/>
    <w:uiPriority w:val="9"/>
    <w:semiHidden/>
    <w:unhideWhenUsed/>
    <w:qFormat/>
    <w:rsid w:val="008C0AB8"/>
    <w:pPr>
      <w:keepNext/>
      <w:keepLines/>
      <w:tabs>
        <w:tab w:val="clear" w:pos="851"/>
      </w:tabs>
      <w:spacing w:before="240" w:after="80" w:line="276" w:lineRule="auto"/>
      <w:jc w:val="left"/>
      <w:outlineLvl w:val="4"/>
    </w:pPr>
    <w:rPr>
      <w:rFonts w:ascii="Inter" w:eastAsia="Inter" w:hAnsi="Inter" w:cs="Inter"/>
      <w:color w:val="666666"/>
      <w:szCs w:val="22"/>
      <w:lang w:val="en"/>
    </w:rPr>
  </w:style>
  <w:style w:type="paragraph" w:styleId="Heading6">
    <w:name w:val="heading 6"/>
    <w:basedOn w:val="Normal"/>
    <w:next w:val="Normal"/>
    <w:link w:val="Heading6Char"/>
    <w:uiPriority w:val="9"/>
    <w:semiHidden/>
    <w:unhideWhenUsed/>
    <w:qFormat/>
    <w:rsid w:val="008C0AB8"/>
    <w:pPr>
      <w:keepNext/>
      <w:keepLines/>
      <w:tabs>
        <w:tab w:val="clear" w:pos="851"/>
      </w:tabs>
      <w:spacing w:before="240" w:after="80" w:line="276" w:lineRule="auto"/>
      <w:jc w:val="left"/>
      <w:outlineLvl w:val="5"/>
    </w:pPr>
    <w:rPr>
      <w:rFonts w:ascii="Inter" w:eastAsia="Inter" w:hAnsi="Inter" w:cs="Inter"/>
      <w:i/>
      <w:color w:val="666666"/>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uiPriority w:val="99"/>
    <w:pPr>
      <w:tabs>
        <w:tab w:val="center" w:pos="4153"/>
        <w:tab w:val="right" w:pos="8306"/>
      </w:tabs>
    </w:pPr>
  </w:style>
  <w:style w:type="paragraph" w:styleId="Footer">
    <w:name w:val="footer"/>
    <w:aliases w:val=" Char"/>
    <w:basedOn w:val="Normal"/>
    <w:link w:val="FooterChar"/>
    <w:uiPriority w:val="99"/>
    <w:pPr>
      <w:tabs>
        <w:tab w:val="center" w:pos="4153"/>
        <w:tab w:val="right" w:pos="8306"/>
      </w:tabs>
    </w:pPr>
    <w:rPr>
      <w:sz w:val="18"/>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aliases w:val="Footnote Reference/,Appel note de bas de p,4_G,Footnote symbol,Footnote reference number,note TESI,BVI fnr,Nota,SUPERS,Footnote number,Footnote Reference Superscript,EN Footnote Reference,-E Fußnotenzeichen,number Char Char,number,Ref"/>
    <w:rPr>
      <w:rFonts w:ascii="Arial" w:hAnsi="Arial"/>
      <w:sz w:val="22"/>
      <w:vertAlign w:val="superscript"/>
    </w:rPr>
  </w:style>
  <w:style w:type="paragraph" w:styleId="FootnoteText">
    <w:name w:val="footnote text"/>
    <w:basedOn w:val="Normal"/>
    <w:link w:val="FootnoteTextChar"/>
    <w:uiPriority w:val="99"/>
    <w:pPr>
      <w:tabs>
        <w:tab w:val="clear" w:pos="851"/>
        <w:tab w:val="left" w:pos="567"/>
      </w:tabs>
      <w:ind w:left="567" w:hanging="567"/>
    </w:pPr>
    <w:rPr>
      <w:sz w:val="18"/>
    </w:rPr>
  </w:style>
  <w:style w:type="character" w:customStyle="1" w:styleId="FooterChar">
    <w:name w:val="Footer Char"/>
    <w:aliases w:val=" Char Char"/>
    <w:basedOn w:val="DefaultParagraphFont"/>
    <w:link w:val="Footer"/>
    <w:uiPriority w:val="99"/>
    <w:rsid w:val="00630A78"/>
    <w:rPr>
      <w:rFonts w:ascii="Arial" w:hAnsi="Arial"/>
      <w:sz w:val="18"/>
      <w:lang w:eastAsia="en-US"/>
    </w:rPr>
  </w:style>
  <w:style w:type="character" w:styleId="Hyperlink">
    <w:name w:val="Hyperlink"/>
    <w:basedOn w:val="DefaultParagraphFont"/>
    <w:uiPriority w:val="99"/>
    <w:unhideWhenUsed/>
    <w:rsid w:val="00D62881"/>
    <w:rPr>
      <w:color w:val="0563C1" w:themeColor="hyperlink"/>
      <w:u w:val="single"/>
    </w:rPr>
  </w:style>
  <w:style w:type="character" w:styleId="UnresolvedMention">
    <w:name w:val="Unresolved Mention"/>
    <w:basedOn w:val="DefaultParagraphFont"/>
    <w:uiPriority w:val="99"/>
    <w:semiHidden/>
    <w:unhideWhenUsed/>
    <w:rsid w:val="00D62881"/>
    <w:rPr>
      <w:color w:val="605E5C"/>
      <w:shd w:val="clear" w:color="auto" w:fill="E1DFDD"/>
    </w:rPr>
  </w:style>
  <w:style w:type="character" w:customStyle="1" w:styleId="Heading5Char">
    <w:name w:val="Heading 5 Char"/>
    <w:basedOn w:val="DefaultParagraphFont"/>
    <w:link w:val="Heading5"/>
    <w:uiPriority w:val="9"/>
    <w:semiHidden/>
    <w:rsid w:val="008C0AB8"/>
    <w:rPr>
      <w:rFonts w:ascii="Inter" w:eastAsia="Inter" w:hAnsi="Inter" w:cs="Inter"/>
      <w:color w:val="666666"/>
      <w:sz w:val="22"/>
      <w:szCs w:val="22"/>
      <w:lang w:val="en" w:eastAsia="en-US"/>
    </w:rPr>
  </w:style>
  <w:style w:type="character" w:customStyle="1" w:styleId="Heading6Char">
    <w:name w:val="Heading 6 Char"/>
    <w:basedOn w:val="DefaultParagraphFont"/>
    <w:link w:val="Heading6"/>
    <w:uiPriority w:val="9"/>
    <w:semiHidden/>
    <w:rsid w:val="008C0AB8"/>
    <w:rPr>
      <w:rFonts w:ascii="Inter" w:eastAsia="Inter" w:hAnsi="Inter" w:cs="Inter"/>
      <w:i/>
      <w:color w:val="666666"/>
      <w:sz w:val="22"/>
      <w:szCs w:val="22"/>
      <w:lang w:val="en" w:eastAsia="en-US"/>
    </w:rPr>
  </w:style>
  <w:style w:type="character" w:customStyle="1" w:styleId="HeaderChar">
    <w:name w:val="Header Char"/>
    <w:basedOn w:val="DefaultParagraphFont"/>
    <w:link w:val="Header"/>
    <w:uiPriority w:val="99"/>
    <w:rsid w:val="008C0AB8"/>
    <w:rPr>
      <w:rFonts w:ascii="Arial" w:hAnsi="Arial"/>
      <w:sz w:val="22"/>
      <w:lang w:eastAsia="en-US"/>
    </w:rPr>
  </w:style>
  <w:style w:type="character" w:customStyle="1" w:styleId="FootnoteTextChar">
    <w:name w:val="Footnote Text Char"/>
    <w:basedOn w:val="DefaultParagraphFont"/>
    <w:link w:val="FootnoteText"/>
    <w:uiPriority w:val="99"/>
    <w:rsid w:val="008C0AB8"/>
    <w:rPr>
      <w:rFonts w:ascii="Arial" w:hAnsi="Arial"/>
      <w:sz w:val="18"/>
      <w:lang w:eastAsia="en-US"/>
    </w:rPr>
  </w:style>
  <w:style w:type="paragraph" w:styleId="ListParagraph">
    <w:name w:val="List Paragraph"/>
    <w:basedOn w:val="Normal"/>
    <w:uiPriority w:val="34"/>
    <w:qFormat/>
    <w:rsid w:val="008C0AB8"/>
    <w:pPr>
      <w:tabs>
        <w:tab w:val="clear" w:pos="851"/>
      </w:tabs>
      <w:ind w:left="720"/>
      <w:contextualSpacing/>
      <w:jc w:val="left"/>
    </w:pPr>
    <w:rPr>
      <w:rFonts w:asciiTheme="minorHAnsi" w:eastAsiaTheme="minorHAnsi" w:hAnsiTheme="minorHAnsi" w:cstheme="minorBidi"/>
      <w:sz w:val="24"/>
      <w:szCs w:val="24"/>
    </w:rPr>
  </w:style>
  <w:style w:type="paragraph" w:customStyle="1" w:styleId="Default">
    <w:name w:val="Default"/>
    <w:rsid w:val="008C0AB8"/>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8C0AB8"/>
    <w:pPr>
      <w:tabs>
        <w:tab w:val="clear" w:pos="851"/>
      </w:tabs>
      <w:jc w:val="left"/>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8C0AB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8C0AB8"/>
    <w:rPr>
      <w:color w:val="954F72" w:themeColor="followedHyperlink"/>
      <w:u w:val="single"/>
    </w:rPr>
  </w:style>
  <w:style w:type="character" w:styleId="CommentReference">
    <w:name w:val="annotation reference"/>
    <w:basedOn w:val="DefaultParagraphFont"/>
    <w:uiPriority w:val="99"/>
    <w:semiHidden/>
    <w:unhideWhenUsed/>
    <w:rsid w:val="008C0AB8"/>
    <w:rPr>
      <w:sz w:val="16"/>
      <w:szCs w:val="16"/>
    </w:rPr>
  </w:style>
  <w:style w:type="paragraph" w:styleId="CommentText">
    <w:name w:val="annotation text"/>
    <w:basedOn w:val="Normal"/>
    <w:link w:val="CommentTextChar"/>
    <w:uiPriority w:val="99"/>
    <w:unhideWhenUsed/>
    <w:rsid w:val="008C0AB8"/>
    <w:rPr>
      <w:sz w:val="20"/>
    </w:rPr>
  </w:style>
  <w:style w:type="character" w:customStyle="1" w:styleId="CommentTextChar">
    <w:name w:val="Comment Text Char"/>
    <w:basedOn w:val="DefaultParagraphFont"/>
    <w:link w:val="CommentText"/>
    <w:uiPriority w:val="99"/>
    <w:rsid w:val="008C0AB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C0AB8"/>
    <w:rPr>
      <w:b/>
      <w:bCs/>
    </w:rPr>
  </w:style>
  <w:style w:type="character" w:customStyle="1" w:styleId="CommentSubjectChar">
    <w:name w:val="Comment Subject Char"/>
    <w:basedOn w:val="CommentTextChar"/>
    <w:link w:val="CommentSubject"/>
    <w:uiPriority w:val="99"/>
    <w:semiHidden/>
    <w:rsid w:val="008C0AB8"/>
    <w:rPr>
      <w:rFonts w:ascii="Arial" w:hAnsi="Arial"/>
      <w:b/>
      <w:bCs/>
      <w:lang w:eastAsia="en-US"/>
    </w:rPr>
  </w:style>
  <w:style w:type="paragraph" w:styleId="Revision">
    <w:name w:val="Revision"/>
    <w:hidden/>
    <w:uiPriority w:val="99"/>
    <w:semiHidden/>
    <w:rsid w:val="008C0AB8"/>
    <w:rPr>
      <w:rFonts w:ascii="Arial" w:hAnsi="Arial"/>
      <w:sz w:val="22"/>
      <w:lang w:eastAsia="en-US"/>
    </w:rPr>
  </w:style>
  <w:style w:type="character" w:customStyle="1" w:styleId="normaltextrun">
    <w:name w:val="normaltextrun"/>
    <w:basedOn w:val="DefaultParagraphFont"/>
    <w:rsid w:val="008C0AB8"/>
  </w:style>
  <w:style w:type="paragraph" w:styleId="NoSpacing">
    <w:name w:val="No Spacing"/>
    <w:uiPriority w:val="1"/>
    <w:qFormat/>
    <w:rsid w:val="008C0AB8"/>
    <w:pPr>
      <w:tabs>
        <w:tab w:val="left" w:pos="851"/>
      </w:tabs>
      <w:jc w:val="both"/>
    </w:pPr>
    <w:rPr>
      <w:rFonts w:ascii="Arial" w:hAnsi="Arial"/>
      <w:sz w:val="22"/>
      <w:lang w:eastAsia="en-US"/>
    </w:rPr>
  </w:style>
  <w:style w:type="character" w:styleId="Mention">
    <w:name w:val="Mention"/>
    <w:basedOn w:val="DefaultParagraphFont"/>
    <w:uiPriority w:val="99"/>
    <w:unhideWhenUsed/>
    <w:rsid w:val="008C0AB8"/>
    <w:rPr>
      <w:color w:val="2B579A"/>
      <w:shd w:val="clear" w:color="auto" w:fill="E1DFDD"/>
    </w:rPr>
  </w:style>
  <w:style w:type="paragraph" w:styleId="NormalWeb">
    <w:name w:val="Normal (Web)"/>
    <w:basedOn w:val="Normal"/>
    <w:uiPriority w:val="99"/>
    <w:unhideWhenUsed/>
    <w:rsid w:val="008C0AB8"/>
    <w:pPr>
      <w:tabs>
        <w:tab w:val="clear" w:pos="851"/>
      </w:tabs>
      <w:spacing w:before="100" w:beforeAutospacing="1" w:after="100" w:afterAutospacing="1"/>
      <w:jc w:val="left"/>
    </w:pPr>
    <w:rPr>
      <w:rFonts w:ascii="Times New Roman" w:hAnsi="Times New Roman"/>
      <w:sz w:val="24"/>
      <w:szCs w:val="24"/>
      <w:lang w:eastAsia="en-GB"/>
    </w:rPr>
  </w:style>
  <w:style w:type="paragraph" w:styleId="EndnoteText">
    <w:name w:val="endnote text"/>
    <w:basedOn w:val="Normal"/>
    <w:link w:val="EndnoteTextChar"/>
    <w:uiPriority w:val="99"/>
    <w:semiHidden/>
    <w:unhideWhenUsed/>
    <w:rsid w:val="008C0AB8"/>
    <w:rPr>
      <w:sz w:val="20"/>
    </w:rPr>
  </w:style>
  <w:style w:type="character" w:customStyle="1" w:styleId="EndnoteTextChar">
    <w:name w:val="Endnote Text Char"/>
    <w:basedOn w:val="DefaultParagraphFont"/>
    <w:link w:val="EndnoteText"/>
    <w:uiPriority w:val="99"/>
    <w:semiHidden/>
    <w:rsid w:val="008C0AB8"/>
    <w:rPr>
      <w:rFonts w:ascii="Arial" w:hAnsi="Arial"/>
      <w:lang w:eastAsia="en-US"/>
    </w:rPr>
  </w:style>
  <w:style w:type="character" w:styleId="EndnoteReference">
    <w:name w:val="endnote reference"/>
    <w:basedOn w:val="DefaultParagraphFont"/>
    <w:uiPriority w:val="99"/>
    <w:semiHidden/>
    <w:unhideWhenUsed/>
    <w:rsid w:val="008C0AB8"/>
    <w:rPr>
      <w:vertAlign w:val="superscript"/>
    </w:rPr>
  </w:style>
  <w:style w:type="character" w:customStyle="1" w:styleId="apple-converted-space">
    <w:name w:val="apple-converted-space"/>
    <w:basedOn w:val="DefaultParagraphFont"/>
    <w:rsid w:val="008C0AB8"/>
  </w:style>
  <w:style w:type="paragraph" w:styleId="Title">
    <w:name w:val="Title"/>
    <w:basedOn w:val="Normal"/>
    <w:next w:val="Normal"/>
    <w:link w:val="TitleChar"/>
    <w:uiPriority w:val="10"/>
    <w:qFormat/>
    <w:rsid w:val="008C0AB8"/>
    <w:pPr>
      <w:keepNext/>
      <w:keepLines/>
      <w:tabs>
        <w:tab w:val="clear" w:pos="851"/>
      </w:tabs>
      <w:spacing w:after="60" w:line="276" w:lineRule="auto"/>
      <w:jc w:val="center"/>
    </w:pPr>
    <w:rPr>
      <w:rFonts w:ascii="Inter" w:eastAsia="Inter" w:hAnsi="Inter" w:cs="Inter"/>
      <w:b/>
      <w:color w:val="FFFFFF"/>
      <w:sz w:val="40"/>
      <w:szCs w:val="40"/>
      <w:lang w:val="en"/>
    </w:rPr>
  </w:style>
  <w:style w:type="character" w:customStyle="1" w:styleId="TitleChar">
    <w:name w:val="Title Char"/>
    <w:basedOn w:val="DefaultParagraphFont"/>
    <w:link w:val="Title"/>
    <w:uiPriority w:val="10"/>
    <w:rsid w:val="008C0AB8"/>
    <w:rPr>
      <w:rFonts w:ascii="Inter" w:eastAsia="Inter" w:hAnsi="Inter" w:cs="Inter"/>
      <w:b/>
      <w:color w:val="FFFFFF"/>
      <w:sz w:val="40"/>
      <w:szCs w:val="40"/>
      <w:lang w:val="en" w:eastAsia="en-US"/>
    </w:rPr>
  </w:style>
  <w:style w:type="paragraph" w:styleId="Subtitle">
    <w:name w:val="Subtitle"/>
    <w:basedOn w:val="Normal"/>
    <w:next w:val="Normal"/>
    <w:link w:val="SubtitleChar"/>
    <w:uiPriority w:val="11"/>
    <w:qFormat/>
    <w:rsid w:val="008C0AB8"/>
    <w:pPr>
      <w:keepNext/>
      <w:keepLines/>
      <w:tabs>
        <w:tab w:val="clear" w:pos="851"/>
      </w:tabs>
      <w:spacing w:after="320" w:line="276" w:lineRule="auto"/>
      <w:jc w:val="left"/>
    </w:pPr>
    <w:rPr>
      <w:rFonts w:eastAsia="Arial" w:cs="Arial"/>
      <w:color w:val="666666"/>
      <w:sz w:val="30"/>
      <w:szCs w:val="30"/>
      <w:lang w:val="en"/>
    </w:rPr>
  </w:style>
  <w:style w:type="character" w:customStyle="1" w:styleId="SubtitleChar">
    <w:name w:val="Subtitle Char"/>
    <w:basedOn w:val="DefaultParagraphFont"/>
    <w:link w:val="Subtitle"/>
    <w:uiPriority w:val="11"/>
    <w:rsid w:val="008C0AB8"/>
    <w:rPr>
      <w:rFonts w:ascii="Arial" w:eastAsia="Arial" w:hAnsi="Arial" w:cs="Arial"/>
      <w:color w:val="666666"/>
      <w:sz w:val="30"/>
      <w:szCs w:val="30"/>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998">
      <w:bodyDiv w:val="1"/>
      <w:marLeft w:val="0"/>
      <w:marRight w:val="0"/>
      <w:marTop w:val="0"/>
      <w:marBottom w:val="0"/>
      <w:divBdr>
        <w:top w:val="none" w:sz="0" w:space="0" w:color="auto"/>
        <w:left w:val="none" w:sz="0" w:space="0" w:color="auto"/>
        <w:bottom w:val="none" w:sz="0" w:space="0" w:color="auto"/>
        <w:right w:val="none" w:sz="0" w:space="0" w:color="auto"/>
      </w:divBdr>
    </w:div>
    <w:div w:id="247232470">
      <w:bodyDiv w:val="1"/>
      <w:marLeft w:val="0"/>
      <w:marRight w:val="0"/>
      <w:marTop w:val="0"/>
      <w:marBottom w:val="0"/>
      <w:divBdr>
        <w:top w:val="none" w:sz="0" w:space="0" w:color="auto"/>
        <w:left w:val="none" w:sz="0" w:space="0" w:color="auto"/>
        <w:bottom w:val="none" w:sz="0" w:space="0" w:color="auto"/>
        <w:right w:val="none" w:sz="0" w:space="0" w:color="auto"/>
      </w:divBdr>
    </w:div>
    <w:div w:id="756903825">
      <w:bodyDiv w:val="1"/>
      <w:marLeft w:val="0"/>
      <w:marRight w:val="0"/>
      <w:marTop w:val="0"/>
      <w:marBottom w:val="0"/>
      <w:divBdr>
        <w:top w:val="none" w:sz="0" w:space="0" w:color="auto"/>
        <w:left w:val="none" w:sz="0" w:space="0" w:color="auto"/>
        <w:bottom w:val="none" w:sz="0" w:space="0" w:color="auto"/>
        <w:right w:val="none" w:sz="0" w:space="0" w:color="auto"/>
      </w:divBdr>
    </w:div>
    <w:div w:id="1626542482">
      <w:bodyDiv w:val="1"/>
      <w:marLeft w:val="0"/>
      <w:marRight w:val="0"/>
      <w:marTop w:val="0"/>
      <w:marBottom w:val="0"/>
      <w:divBdr>
        <w:top w:val="none" w:sz="0" w:space="0" w:color="auto"/>
        <w:left w:val="none" w:sz="0" w:space="0" w:color="auto"/>
        <w:bottom w:val="none" w:sz="0" w:space="0" w:color="auto"/>
        <w:right w:val="none" w:sz="0" w:space="0" w:color="auto"/>
      </w:divBdr>
    </w:div>
    <w:div w:id="21155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4.xml"/><Relationship Id="rId10" Type="http://schemas.openxmlformats.org/officeDocument/2006/relationships/hyperlink" Target="https://www.figma.com/proto/3zhoYTw7vtvCZ30ADAXWoX/ZESF-Prototype-2024?type=design&amp;node-id=1172-58993&amp;t=jb2Lqd5VJmXmTCjq-1&amp;scaling=scale-down&amp;page-id=1172%3A58429&amp;starting-point-node-id=1172%3A5899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igma.com/proto/3zhoYTw7vtvCZ30ADAXWoX/ZESF-Prototype-2024?type=design&amp;node-id=1172-58993&amp;t=jb2Lqd5VJmXmTCjq-1&amp;scaling=scale-down&amp;page-id=1172%3A58429&amp;starting-point-node-id=1172%3A58993" TargetMode="External"/><Relationship Id="rId14" Type="http://schemas.openxmlformats.org/officeDocument/2006/relationships/image" Target="media/image5.svg"/><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BF28-D37E-4E8E-BF61-BBB3E353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17561</Words>
  <Characters>88823</Characters>
  <Application>Microsoft Office Word</Application>
  <DocSecurity>4</DocSecurity>
  <Lines>740</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2024-08-09T11:00:00Z</dcterms:created>
  <dcterms:modified xsi:type="dcterms:W3CDTF">2024-08-09T11:00:00Z</dcterms:modified>
</cp:coreProperties>
</file>