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911084" w:rsidRPr="00191D29" w14:paraId="4D88ABBC" w14:textId="77777777">
        <w:trPr>
          <w:trHeight w:val="1287"/>
          <w:jc w:val="center"/>
        </w:trPr>
        <w:tc>
          <w:tcPr>
            <w:tcW w:w="2667" w:type="dxa"/>
            <w:tcBorders>
              <w:top w:val="nil"/>
              <w:bottom w:val="nil"/>
              <w:right w:val="nil"/>
            </w:tcBorders>
            <w:hideMark/>
          </w:tcPr>
          <w:p w14:paraId="31C7BB01" w14:textId="77777777" w:rsidR="00911084" w:rsidRPr="00191D29" w:rsidRDefault="001C42BF" w:rsidP="00371D32">
            <w:pPr>
              <w:pStyle w:val="Heading3"/>
            </w:pPr>
            <w:r w:rsidRPr="00191D29">
              <w:rPr>
                <w:noProof/>
                <w:lang w:eastAsia="en-GB"/>
              </w:rPr>
              <mc:AlternateContent>
                <mc:Choice Requires="wps">
                  <w:drawing>
                    <wp:anchor distT="0" distB="0" distL="114300" distR="114300" simplePos="0" relativeHeight="251658240" behindDoc="0" locked="0" layoutInCell="1" allowOverlap="1" wp14:anchorId="77A31569" wp14:editId="467950FC">
                      <wp:simplePos x="0" y="0"/>
                      <wp:positionH relativeFrom="column">
                        <wp:posOffset>-82550</wp:posOffset>
                      </wp:positionH>
                      <wp:positionV relativeFrom="paragraph">
                        <wp:posOffset>621030</wp:posOffset>
                      </wp:positionV>
                      <wp:extent cx="57569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8E07"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pTtgEAAFIDAAAOAAAAZHJzL2Uyb0RvYy54bWysU01v2zAMvQ/YfxB0X5wESLc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"/>
                  </w:pict>
                </mc:Fallback>
              </mc:AlternateContent>
            </w:r>
          </w:p>
        </w:tc>
        <w:tc>
          <w:tcPr>
            <w:tcW w:w="4061" w:type="dxa"/>
            <w:tcBorders>
              <w:left w:val="nil"/>
              <w:right w:val="nil"/>
            </w:tcBorders>
            <w:hideMark/>
          </w:tcPr>
          <w:p w14:paraId="565DF558" w14:textId="77777777" w:rsidR="00911084" w:rsidRPr="00191D29" w:rsidRDefault="001C42BF">
            <w:pPr>
              <w:jc w:val="left"/>
            </w:pPr>
            <w:r w:rsidRPr="00191D29">
              <w:rPr>
                <w:noProof/>
                <w:lang w:eastAsia="en-GB"/>
              </w:rPr>
              <w:drawing>
                <wp:inline distT="0" distB="0" distL="0" distR="0" wp14:anchorId="3724A67E" wp14:editId="14140C8A">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6D9A24F5" w14:textId="77777777" w:rsidR="00911084" w:rsidRPr="00191D29" w:rsidRDefault="001C42BF">
            <w:pPr>
              <w:jc w:val="right"/>
            </w:pPr>
            <w:r w:rsidRPr="00191D29">
              <w:rPr>
                <w:b/>
                <w:i/>
                <w:sz w:val="48"/>
                <w:szCs w:val="48"/>
              </w:rPr>
              <w:t>E</w:t>
            </w:r>
          </w:p>
        </w:tc>
      </w:tr>
    </w:tbl>
    <w:p w14:paraId="0F313852" w14:textId="77777777" w:rsidR="00911084" w:rsidRPr="00191D29" w:rsidRDefault="00911084">
      <w:bookmarkStart w:id="0" w:name="headings"/>
      <w:bookmarkEnd w:id="0"/>
    </w:p>
    <w:tbl>
      <w:tblPr>
        <w:tblW w:w="9157" w:type="dxa"/>
        <w:jc w:val="center"/>
        <w:tblLayout w:type="fixed"/>
        <w:tblCellMar>
          <w:left w:w="60" w:type="dxa"/>
          <w:right w:w="60" w:type="dxa"/>
        </w:tblCellMar>
        <w:tblLook w:val="0000" w:firstRow="0" w:lastRow="0" w:firstColumn="0" w:lastColumn="0" w:noHBand="0" w:noVBand="0"/>
      </w:tblPr>
      <w:tblGrid>
        <w:gridCol w:w="4692"/>
        <w:gridCol w:w="4465"/>
      </w:tblGrid>
      <w:tr w:rsidR="00911084" w:rsidRPr="00191D29" w14:paraId="4E4FEBB4" w14:textId="77777777">
        <w:trPr>
          <w:jc w:val="center"/>
        </w:trPr>
        <w:tc>
          <w:tcPr>
            <w:tcW w:w="4692" w:type="dxa"/>
          </w:tcPr>
          <w:p w14:paraId="6E4A6047" w14:textId="77777777" w:rsidR="00911084" w:rsidRPr="00191D29" w:rsidRDefault="00911084" w:rsidP="006E7918">
            <w:pPr>
              <w:spacing w:line="120" w:lineRule="exact"/>
              <w:jc w:val="left"/>
            </w:pPr>
            <w:bookmarkStart w:id="1" w:name="sub_committee"/>
            <w:bookmarkEnd w:id="1"/>
          </w:p>
          <w:p w14:paraId="497F40E3" w14:textId="6DD087DE" w:rsidR="00FD53BD" w:rsidRPr="00191D29" w:rsidRDefault="00FD53BD" w:rsidP="006E7918">
            <w:pPr>
              <w:jc w:val="left"/>
              <w:rPr>
                <w:rFonts w:cs="Arial"/>
                <w:szCs w:val="22"/>
              </w:rPr>
            </w:pPr>
            <w:r w:rsidRPr="00191D29">
              <w:rPr>
                <w:rFonts w:cs="Arial"/>
                <w:szCs w:val="22"/>
              </w:rPr>
              <w:t>INTERSESSIONA</w:t>
            </w:r>
            <w:r w:rsidR="0008466E" w:rsidRPr="00191D29">
              <w:rPr>
                <w:rFonts w:cs="Arial"/>
                <w:szCs w:val="22"/>
              </w:rPr>
              <w:t xml:space="preserve">L </w:t>
            </w:r>
            <w:r w:rsidRPr="00191D29">
              <w:rPr>
                <w:rFonts w:cs="Arial"/>
                <w:szCs w:val="22"/>
              </w:rPr>
              <w:t>MEETING</w:t>
            </w:r>
            <w:r w:rsidR="0008466E" w:rsidRPr="00191D29">
              <w:rPr>
                <w:rFonts w:cs="Arial"/>
                <w:szCs w:val="22"/>
              </w:rPr>
              <w:t xml:space="preserve"> </w:t>
            </w:r>
            <w:r w:rsidRPr="00191D29">
              <w:rPr>
                <w:rFonts w:cs="Arial"/>
                <w:szCs w:val="22"/>
              </w:rPr>
              <w:t>OF</w:t>
            </w:r>
            <w:r w:rsidR="0008466E" w:rsidRPr="00191D29">
              <w:rPr>
                <w:rFonts w:cs="Arial"/>
                <w:szCs w:val="22"/>
              </w:rPr>
              <w:t xml:space="preserve"> </w:t>
            </w:r>
            <w:r w:rsidRPr="00191D29">
              <w:rPr>
                <w:rFonts w:cs="Arial"/>
                <w:szCs w:val="22"/>
              </w:rPr>
              <w:t xml:space="preserve">THE WORKING GROUP ON REDUCTION OF GHG EMISSIONS FROM SHIPS </w:t>
            </w:r>
          </w:p>
          <w:p w14:paraId="31E91563" w14:textId="1C2A413E" w:rsidR="00FD53BD" w:rsidRPr="00191D29" w:rsidRDefault="002D3348" w:rsidP="006E7918">
            <w:pPr>
              <w:jc w:val="left"/>
              <w:rPr>
                <w:rFonts w:cs="Arial"/>
              </w:rPr>
            </w:pPr>
            <w:r w:rsidRPr="00191D29">
              <w:rPr>
                <w:rFonts w:cs="Arial"/>
              </w:rPr>
              <w:t>16th</w:t>
            </w:r>
            <w:r w:rsidR="00FD53BD" w:rsidRPr="00191D29">
              <w:rPr>
                <w:rFonts w:cs="Arial"/>
              </w:rPr>
              <w:t xml:space="preserve"> session </w:t>
            </w:r>
          </w:p>
          <w:p w14:paraId="6C1EF39A" w14:textId="6DAEFF04" w:rsidR="00FB184C" w:rsidRPr="00191D29" w:rsidRDefault="001C42BF" w:rsidP="004A79C5">
            <w:pPr>
              <w:spacing w:after="58"/>
              <w:jc w:val="left"/>
            </w:pPr>
            <w:bookmarkStart w:id="2" w:name="session"/>
            <w:bookmarkEnd w:id="2"/>
            <w:r w:rsidRPr="00191D29">
              <w:t xml:space="preserve">Agenda item </w:t>
            </w:r>
            <w:bookmarkStart w:id="3" w:name="agenda"/>
            <w:bookmarkEnd w:id="3"/>
            <w:r w:rsidR="002D3348" w:rsidRPr="00191D29">
              <w:t>2</w:t>
            </w:r>
          </w:p>
        </w:tc>
        <w:tc>
          <w:tcPr>
            <w:tcW w:w="4465" w:type="dxa"/>
          </w:tcPr>
          <w:p w14:paraId="7A745C58" w14:textId="77777777" w:rsidR="00911084" w:rsidRPr="00191D29" w:rsidRDefault="00911084">
            <w:pPr>
              <w:spacing w:line="120" w:lineRule="exact"/>
              <w:jc w:val="right"/>
            </w:pPr>
          </w:p>
          <w:p w14:paraId="5D07907B" w14:textId="26FD7500" w:rsidR="00911084" w:rsidRPr="00191D29" w:rsidRDefault="006E7918">
            <w:pPr>
              <w:tabs>
                <w:tab w:val="clear" w:pos="851"/>
              </w:tabs>
              <w:jc w:val="right"/>
            </w:pPr>
            <w:bookmarkStart w:id="4" w:name="symbol"/>
            <w:bookmarkEnd w:id="4"/>
            <w:r w:rsidRPr="00191D29">
              <w:t>ISWG</w:t>
            </w:r>
            <w:r w:rsidR="00D80A22" w:rsidRPr="00191D29">
              <w:t xml:space="preserve">-GHG </w:t>
            </w:r>
            <w:r w:rsidR="002D3348" w:rsidRPr="00191D29">
              <w:t>16</w:t>
            </w:r>
            <w:r w:rsidR="00A630FA" w:rsidRPr="00191D29">
              <w:t>/</w:t>
            </w:r>
            <w:r w:rsidR="002D3348" w:rsidRPr="00191D29">
              <w:t>2</w:t>
            </w:r>
            <w:r w:rsidR="00A630FA" w:rsidRPr="00191D29">
              <w:t>/</w:t>
            </w:r>
            <w:r w:rsidR="0067569E">
              <w:t>3</w:t>
            </w:r>
          </w:p>
          <w:p w14:paraId="063EA9E9" w14:textId="4D4A853E" w:rsidR="00911084" w:rsidRPr="00191D29" w:rsidRDefault="00F66FF7" w:rsidP="00CC53DC">
            <w:pPr>
              <w:tabs>
                <w:tab w:val="clear" w:pos="851"/>
              </w:tabs>
              <w:jc w:val="right"/>
            </w:pPr>
            <w:bookmarkStart w:id="5" w:name="date"/>
            <w:bookmarkEnd w:id="5"/>
            <w:r>
              <w:t>30</w:t>
            </w:r>
            <w:r w:rsidR="008859EF" w:rsidRPr="00191D29">
              <w:t xml:space="preserve"> </w:t>
            </w:r>
            <w:r w:rsidR="002D3348" w:rsidRPr="00191D29">
              <w:t>January</w:t>
            </w:r>
            <w:r w:rsidR="001C42BF" w:rsidRPr="00191D29">
              <w:t xml:space="preserve"> 20</w:t>
            </w:r>
            <w:r w:rsidR="00804000" w:rsidRPr="00191D29">
              <w:t>2</w:t>
            </w:r>
            <w:r w:rsidR="00173D2E" w:rsidRPr="00191D29">
              <w:t>3</w:t>
            </w:r>
          </w:p>
          <w:p w14:paraId="2D090059" w14:textId="788F39CA" w:rsidR="00911084" w:rsidRPr="00191D29" w:rsidRDefault="001C42BF">
            <w:pPr>
              <w:tabs>
                <w:tab w:val="clear" w:pos="851"/>
              </w:tabs>
              <w:spacing w:after="58"/>
              <w:ind w:left="-924"/>
              <w:jc w:val="right"/>
            </w:pPr>
            <w:bookmarkStart w:id="6" w:name="language"/>
            <w:bookmarkEnd w:id="6"/>
            <w:r w:rsidRPr="00191D29">
              <w:t>Original: ENGLISH</w:t>
            </w:r>
          </w:p>
          <w:p w14:paraId="4D5F32B8" w14:textId="16C532A1" w:rsidR="00DD2A0C" w:rsidRPr="00191D29" w:rsidRDefault="00DD2A0C">
            <w:pPr>
              <w:tabs>
                <w:tab w:val="clear" w:pos="851"/>
              </w:tabs>
              <w:spacing w:after="58"/>
              <w:ind w:left="-924"/>
              <w:jc w:val="right"/>
            </w:pPr>
            <w:r w:rsidRPr="00191D29">
              <w:t xml:space="preserve">Pre-session public release: </w:t>
            </w:r>
            <w:sdt>
              <w:sdtPr>
                <w:rPr>
                  <w:noProof/>
                  <w:lang w:eastAsia="en-GB"/>
                </w:rPr>
                <w:id w:val="497314832"/>
                <w14:checkbox>
                  <w14:checked w14:val="1"/>
                  <w14:checkedState w14:val="2612" w14:font="MS Gothic"/>
                  <w14:uncheckedState w14:val="2610" w14:font="MS Gothic"/>
                </w14:checkbox>
              </w:sdtPr>
              <w:sdtContent>
                <w:r w:rsidR="00A630FA" w:rsidRPr="00191D29">
                  <w:rPr>
                    <w:rFonts w:ascii="MS Gothic" w:eastAsia="MS Gothic" w:hAnsi="MS Gothic" w:hint="eastAsia"/>
                    <w:noProof/>
                    <w:lang w:eastAsia="en-GB"/>
                  </w:rPr>
                  <w:t>☒</w:t>
                </w:r>
              </w:sdtContent>
            </w:sdt>
          </w:p>
          <w:p w14:paraId="58299542" w14:textId="77777777" w:rsidR="00DD2A0C" w:rsidRPr="00191D29" w:rsidRDefault="00DD2A0C">
            <w:pPr>
              <w:tabs>
                <w:tab w:val="clear" w:pos="851"/>
              </w:tabs>
              <w:spacing w:after="58"/>
              <w:ind w:left="-924"/>
              <w:jc w:val="right"/>
            </w:pPr>
          </w:p>
        </w:tc>
      </w:tr>
    </w:tbl>
    <w:p w14:paraId="44127D2C" w14:textId="77777777" w:rsidR="00FA00CC" w:rsidRPr="00191D29" w:rsidRDefault="00FA00CC" w:rsidP="005E41D4">
      <w:pPr>
        <w:rPr>
          <w:rFonts w:cs="Arial"/>
          <w:b/>
          <w:bCs/>
          <w:sz w:val="24"/>
          <w:szCs w:val="24"/>
        </w:rPr>
      </w:pPr>
    </w:p>
    <w:p w14:paraId="2E6B325D" w14:textId="1433EB19" w:rsidR="00FA00CC" w:rsidRPr="00191D29" w:rsidRDefault="00FA00CC" w:rsidP="004C0BFD">
      <w:pPr>
        <w:jc w:val="center"/>
        <w:rPr>
          <w:rFonts w:cs="Arial"/>
          <w:b/>
          <w:bCs/>
          <w:sz w:val="24"/>
          <w:szCs w:val="24"/>
        </w:rPr>
      </w:pPr>
      <w:r w:rsidRPr="00191D29">
        <w:rPr>
          <w:b/>
          <w:bCs/>
        </w:rPr>
        <w:t>FURTHER CONSIDERATION OF THE DEVELOPMENT OF CANDIDATE MID-TERM MEASURE(S) IN THE CONTEXT OF PHASE III OF THE WORK PLAN FOR THE DEVELOPMENT OF MID- AND LONG-TERM MEASURE</w:t>
      </w:r>
      <w:r w:rsidR="00BD7132" w:rsidRPr="00191D29">
        <w:rPr>
          <w:b/>
          <w:bCs/>
        </w:rPr>
        <w:t>S</w:t>
      </w:r>
    </w:p>
    <w:p w14:paraId="4DD08094" w14:textId="77777777" w:rsidR="00FA00CC" w:rsidRPr="00191D29" w:rsidRDefault="00FA00CC" w:rsidP="004C0BFD">
      <w:pPr>
        <w:jc w:val="center"/>
        <w:rPr>
          <w:rFonts w:cs="Arial"/>
          <w:b/>
          <w:bCs/>
          <w:caps/>
          <w:sz w:val="24"/>
          <w:szCs w:val="24"/>
        </w:rPr>
      </w:pPr>
    </w:p>
    <w:p w14:paraId="1AF8164B" w14:textId="72759C05" w:rsidR="00F41638" w:rsidRPr="00191D29" w:rsidRDefault="004A79C5" w:rsidP="00AA311D">
      <w:pPr>
        <w:jc w:val="center"/>
        <w:rPr>
          <w:rFonts w:cs="Arial"/>
          <w:b/>
          <w:bCs/>
          <w:szCs w:val="22"/>
        </w:rPr>
      </w:pPr>
      <w:bookmarkStart w:id="7" w:name="_Hlk123914573"/>
      <w:r w:rsidRPr="00191D29">
        <w:rPr>
          <w:rFonts w:cs="Arial"/>
          <w:b/>
          <w:szCs w:val="22"/>
        </w:rPr>
        <w:t>Possible d</w:t>
      </w:r>
      <w:r w:rsidR="00997A86" w:rsidRPr="00191D29">
        <w:rPr>
          <w:rFonts w:cs="Arial"/>
          <w:b/>
          <w:szCs w:val="22"/>
        </w:rPr>
        <w:t xml:space="preserve">raft amendments to MARPOL Annex VI to </w:t>
      </w:r>
      <w:r w:rsidR="008A1DB6" w:rsidRPr="00191D29">
        <w:rPr>
          <w:rFonts w:cs="Arial"/>
          <w:b/>
          <w:szCs w:val="22"/>
        </w:rPr>
        <w:t xml:space="preserve">establish </w:t>
      </w:r>
      <w:r w:rsidR="003E54FE" w:rsidRPr="00191D29">
        <w:rPr>
          <w:rFonts w:cs="Arial"/>
          <w:b/>
          <w:szCs w:val="22"/>
        </w:rPr>
        <w:t xml:space="preserve">a </w:t>
      </w:r>
      <w:r w:rsidR="001C74C2" w:rsidRPr="00191D29">
        <w:rPr>
          <w:rFonts w:cs="Arial"/>
          <w:b/>
          <w:szCs w:val="22"/>
        </w:rPr>
        <w:t xml:space="preserve">Fund and Reward (Feebate) mechanism </w:t>
      </w:r>
      <w:r w:rsidR="00121060" w:rsidRPr="00191D29">
        <w:rPr>
          <w:rFonts w:cs="Arial"/>
          <w:b/>
          <w:szCs w:val="22"/>
        </w:rPr>
        <w:t xml:space="preserve">as a </w:t>
      </w:r>
      <w:r w:rsidRPr="00191D29">
        <w:rPr>
          <w:rFonts w:cs="Arial"/>
          <w:b/>
          <w:szCs w:val="22"/>
        </w:rPr>
        <w:t xml:space="preserve">maritime </w:t>
      </w:r>
      <w:r w:rsidR="00121060" w:rsidRPr="00191D29">
        <w:rPr>
          <w:rFonts w:cs="Arial"/>
          <w:b/>
          <w:szCs w:val="22"/>
        </w:rPr>
        <w:t xml:space="preserve">GHG </w:t>
      </w:r>
      <w:r w:rsidRPr="00191D29">
        <w:rPr>
          <w:rFonts w:cs="Arial"/>
          <w:b/>
          <w:szCs w:val="22"/>
        </w:rPr>
        <w:t xml:space="preserve">emissions </w:t>
      </w:r>
      <w:r w:rsidR="001C74C2" w:rsidRPr="00191D29">
        <w:rPr>
          <w:rFonts w:cs="Arial"/>
          <w:b/>
          <w:szCs w:val="22"/>
        </w:rPr>
        <w:t>p</w:t>
      </w:r>
      <w:r w:rsidR="00121060" w:rsidRPr="00191D29">
        <w:rPr>
          <w:rFonts w:cs="Arial"/>
          <w:b/>
          <w:szCs w:val="22"/>
        </w:rPr>
        <w:t xml:space="preserve">ricing </w:t>
      </w:r>
      <w:r w:rsidR="001C74C2" w:rsidRPr="00191D29">
        <w:rPr>
          <w:rFonts w:cs="Arial"/>
          <w:b/>
          <w:szCs w:val="22"/>
        </w:rPr>
        <w:t>m</w:t>
      </w:r>
      <w:r w:rsidR="00121060" w:rsidRPr="00191D29">
        <w:rPr>
          <w:rFonts w:cs="Arial"/>
          <w:b/>
          <w:szCs w:val="22"/>
        </w:rPr>
        <w:t>echanism</w:t>
      </w:r>
      <w:bookmarkEnd w:id="7"/>
      <w:r w:rsidR="000B06BE" w:rsidRPr="00191D29">
        <w:rPr>
          <w:rFonts w:cs="Arial"/>
          <w:b/>
          <w:szCs w:val="22"/>
        </w:rPr>
        <w:t xml:space="preserve"> </w:t>
      </w:r>
    </w:p>
    <w:p w14:paraId="1956F7CD" w14:textId="77777777" w:rsidR="00C1760E" w:rsidRPr="00191D29" w:rsidRDefault="00C1760E" w:rsidP="00DF13CD">
      <w:pPr>
        <w:tabs>
          <w:tab w:val="clear" w:pos="851"/>
        </w:tabs>
        <w:jc w:val="center"/>
        <w:rPr>
          <w:b/>
        </w:rPr>
      </w:pPr>
    </w:p>
    <w:p w14:paraId="3A7C056D" w14:textId="7E0D64BF" w:rsidR="00911084" w:rsidRPr="00191D29" w:rsidRDefault="001C42BF" w:rsidP="00DF13CD">
      <w:pPr>
        <w:tabs>
          <w:tab w:val="clear" w:pos="851"/>
        </w:tabs>
        <w:jc w:val="center"/>
        <w:rPr>
          <w:b/>
        </w:rPr>
      </w:pPr>
      <w:r w:rsidRPr="00191D29">
        <w:rPr>
          <w:b/>
        </w:rPr>
        <w:t>Submitted by</w:t>
      </w:r>
      <w:r w:rsidR="00B82837">
        <w:rPr>
          <w:b/>
        </w:rPr>
        <w:t xml:space="preserve"> </w:t>
      </w:r>
      <w:r w:rsidR="00F66FF7">
        <w:rPr>
          <w:b/>
        </w:rPr>
        <w:t xml:space="preserve">Bahamas, </w:t>
      </w:r>
      <w:r w:rsidR="0051710A">
        <w:rPr>
          <w:b/>
        </w:rPr>
        <w:t>Liberia</w:t>
      </w:r>
      <w:r w:rsidR="00E6323D">
        <w:rPr>
          <w:b/>
        </w:rPr>
        <w:t xml:space="preserve"> and IC</w:t>
      </w:r>
      <w:r w:rsidR="000B4511">
        <w:rPr>
          <w:b/>
        </w:rPr>
        <w:t>S</w:t>
      </w:r>
      <w:r w:rsidR="0051710A">
        <w:rPr>
          <w:b/>
        </w:rPr>
        <w:t xml:space="preserve"> </w:t>
      </w:r>
    </w:p>
    <w:p w14:paraId="42E90532" w14:textId="77777777" w:rsidR="00911084" w:rsidRPr="00191D29" w:rsidRDefault="00911084">
      <w:pPr>
        <w:tabs>
          <w:tab w:val="clear" w:pos="851"/>
        </w:tabs>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32" w:type="dxa"/>
          <w:right w:w="132" w:type="dxa"/>
        </w:tblCellMar>
        <w:tblLook w:val="0000" w:firstRow="0" w:lastRow="0" w:firstColumn="0" w:lastColumn="0" w:noHBand="0" w:noVBand="0"/>
      </w:tblPr>
      <w:tblGrid>
        <w:gridCol w:w="2245"/>
        <w:gridCol w:w="6755"/>
      </w:tblGrid>
      <w:tr w:rsidR="00191D29" w:rsidRPr="00191D29" w14:paraId="11F2D79D" w14:textId="77777777">
        <w:trPr>
          <w:jc w:val="center"/>
        </w:trPr>
        <w:tc>
          <w:tcPr>
            <w:tcW w:w="9000" w:type="dxa"/>
            <w:gridSpan w:val="2"/>
            <w:tcMar>
              <w:top w:w="85" w:type="dxa"/>
              <w:left w:w="85" w:type="dxa"/>
              <w:bottom w:w="85" w:type="dxa"/>
              <w:right w:w="85" w:type="dxa"/>
            </w:tcMar>
          </w:tcPr>
          <w:p w14:paraId="00792230" w14:textId="77777777" w:rsidR="00911084" w:rsidRPr="00191D29" w:rsidRDefault="00911084">
            <w:pPr>
              <w:spacing w:line="120" w:lineRule="exact"/>
              <w:rPr>
                <w:bCs/>
              </w:rPr>
            </w:pPr>
          </w:p>
          <w:p w14:paraId="422148CE" w14:textId="77777777" w:rsidR="00911084" w:rsidRPr="00191D29" w:rsidRDefault="001C42BF">
            <w:pPr>
              <w:tabs>
                <w:tab w:val="clear" w:pos="851"/>
              </w:tabs>
              <w:spacing w:after="58"/>
              <w:jc w:val="center"/>
              <w:rPr>
                <w:b/>
              </w:rPr>
            </w:pPr>
            <w:r w:rsidRPr="00191D29">
              <w:rPr>
                <w:b/>
              </w:rPr>
              <w:t>SUMMARY</w:t>
            </w:r>
          </w:p>
        </w:tc>
      </w:tr>
      <w:tr w:rsidR="00191D29" w:rsidRPr="00191D29" w14:paraId="130D27B8" w14:textId="77777777">
        <w:trPr>
          <w:jc w:val="center"/>
        </w:trPr>
        <w:tc>
          <w:tcPr>
            <w:tcW w:w="2245" w:type="dxa"/>
            <w:tcMar>
              <w:top w:w="85" w:type="dxa"/>
              <w:left w:w="85" w:type="dxa"/>
              <w:bottom w:w="85" w:type="dxa"/>
              <w:right w:w="85" w:type="dxa"/>
            </w:tcMar>
          </w:tcPr>
          <w:p w14:paraId="2C4659A2" w14:textId="77777777" w:rsidR="00911084" w:rsidRPr="00191D29" w:rsidRDefault="001C42BF">
            <w:pPr>
              <w:spacing w:after="58"/>
              <w:rPr>
                <w:bCs/>
              </w:rPr>
            </w:pPr>
            <w:r w:rsidRPr="00191D29">
              <w:rPr>
                <w:bCs/>
                <w:i/>
              </w:rPr>
              <w:t>Executive summary:</w:t>
            </w:r>
          </w:p>
        </w:tc>
        <w:tc>
          <w:tcPr>
            <w:tcW w:w="6755" w:type="dxa"/>
            <w:tcMar>
              <w:top w:w="85" w:type="dxa"/>
              <w:left w:w="85" w:type="dxa"/>
              <w:bottom w:w="85" w:type="dxa"/>
              <w:right w:w="85" w:type="dxa"/>
            </w:tcMar>
          </w:tcPr>
          <w:p w14:paraId="21E96D27" w14:textId="488CED92" w:rsidR="00911084" w:rsidRPr="00191D29" w:rsidRDefault="00163674">
            <w:pPr>
              <w:tabs>
                <w:tab w:val="clear" w:pos="851"/>
              </w:tabs>
              <w:spacing w:after="58"/>
              <w:rPr>
                <w:bCs/>
              </w:rPr>
            </w:pPr>
            <w:bookmarkStart w:id="8" w:name="Execsum"/>
            <w:bookmarkEnd w:id="8"/>
            <w:r>
              <w:t xml:space="preserve">As </w:t>
            </w:r>
            <w:r w:rsidR="00F5478F" w:rsidRPr="00191D29">
              <w:t xml:space="preserve">approval of a maritime GHG emissions pricing mechanism will be required </w:t>
            </w:r>
            <w:r w:rsidR="00B962E4" w:rsidRPr="00191D29">
              <w:t xml:space="preserve">at MEPC 83 </w:t>
            </w:r>
            <w:r w:rsidR="00C00A8B" w:rsidRPr="00191D29">
              <w:t>next year</w:t>
            </w:r>
            <w:r w:rsidR="00F5478F" w:rsidRPr="00191D29">
              <w:t xml:space="preserve">, it is imperative that the Group and the Committee commence detailed work on the development of text of the necessary amendments to MARPOL Annex VI. </w:t>
            </w:r>
            <w:r w:rsidR="0051710A">
              <w:rPr>
                <w:bCs/>
              </w:rPr>
              <w:t>The co</w:t>
            </w:r>
            <w:r w:rsidR="0098683C">
              <w:rPr>
                <w:bCs/>
              </w:rPr>
              <w:t>-sponsor</w:t>
            </w:r>
            <w:r w:rsidR="00B82837">
              <w:rPr>
                <w:bCs/>
              </w:rPr>
              <w:t>s</w:t>
            </w:r>
            <w:r w:rsidR="00E04CC9" w:rsidRPr="00191D29">
              <w:rPr>
                <w:bCs/>
              </w:rPr>
              <w:t xml:space="preserve"> set out </w:t>
            </w:r>
            <w:r w:rsidR="00B30E6F" w:rsidRPr="00191D29">
              <w:rPr>
                <w:bCs/>
              </w:rPr>
              <w:t xml:space="preserve">further </w:t>
            </w:r>
            <w:r w:rsidR="00025684" w:rsidRPr="00191D29">
              <w:rPr>
                <w:bCs/>
              </w:rPr>
              <w:t xml:space="preserve">details of a </w:t>
            </w:r>
            <w:r w:rsidR="000803BE" w:rsidRPr="00191D29">
              <w:rPr>
                <w:bCs/>
              </w:rPr>
              <w:t>Fund and Reward (</w:t>
            </w:r>
            <w:r w:rsidR="009706FA" w:rsidRPr="00191D29">
              <w:rPr>
                <w:bCs/>
              </w:rPr>
              <w:t>F</w:t>
            </w:r>
            <w:r w:rsidR="000803BE" w:rsidRPr="00191D29">
              <w:rPr>
                <w:bCs/>
              </w:rPr>
              <w:t>eebate</w:t>
            </w:r>
            <w:r w:rsidR="009706FA" w:rsidRPr="00191D29">
              <w:rPr>
                <w:bCs/>
              </w:rPr>
              <w:t>)</w:t>
            </w:r>
            <w:r w:rsidR="000803BE" w:rsidRPr="00191D29">
              <w:rPr>
                <w:bCs/>
              </w:rPr>
              <w:t xml:space="preserve"> </w:t>
            </w:r>
            <w:r w:rsidR="00025684" w:rsidRPr="00191D29">
              <w:rPr>
                <w:bCs/>
              </w:rPr>
              <w:t>mechanism</w:t>
            </w:r>
            <w:r w:rsidR="00AD2864" w:rsidRPr="00191D29">
              <w:rPr>
                <w:bCs/>
              </w:rPr>
              <w:t xml:space="preserve">, </w:t>
            </w:r>
            <w:r w:rsidR="009A1EE7" w:rsidRPr="00191D29">
              <w:rPr>
                <w:bCs/>
              </w:rPr>
              <w:t>establishing</w:t>
            </w:r>
            <w:r w:rsidR="009561C7" w:rsidRPr="00191D29">
              <w:rPr>
                <w:bCs/>
              </w:rPr>
              <w:t xml:space="preserve"> a </w:t>
            </w:r>
            <w:r w:rsidR="00A15C00" w:rsidRPr="00191D29">
              <w:rPr>
                <w:bCs/>
              </w:rPr>
              <w:t xml:space="preserve">Zero Emission </w:t>
            </w:r>
            <w:r w:rsidR="00CE2CA8" w:rsidRPr="00191D29">
              <w:rPr>
                <w:bCs/>
              </w:rPr>
              <w:t xml:space="preserve">Shipping </w:t>
            </w:r>
            <w:r w:rsidR="00A15C00" w:rsidRPr="00191D29">
              <w:rPr>
                <w:bCs/>
              </w:rPr>
              <w:t xml:space="preserve">Fund </w:t>
            </w:r>
            <w:r w:rsidR="00CE2CA8" w:rsidRPr="00191D29">
              <w:rPr>
                <w:bCs/>
              </w:rPr>
              <w:t>(ZESF)</w:t>
            </w:r>
            <w:r w:rsidR="008E1BAF" w:rsidRPr="00191D29">
              <w:rPr>
                <w:bCs/>
              </w:rPr>
              <w:t xml:space="preserve">. </w:t>
            </w:r>
            <w:r w:rsidR="0007027A" w:rsidRPr="00191D29">
              <w:rPr>
                <w:bCs/>
              </w:rPr>
              <w:t>F</w:t>
            </w:r>
            <w:r w:rsidR="0062718F" w:rsidRPr="00191D29">
              <w:rPr>
                <w:bCs/>
              </w:rPr>
              <w:t xml:space="preserve">unds collected </w:t>
            </w:r>
            <w:r w:rsidR="00B46D13" w:rsidRPr="00191D29">
              <w:rPr>
                <w:bCs/>
              </w:rPr>
              <w:t xml:space="preserve">from </w:t>
            </w:r>
            <w:r w:rsidR="0062718F" w:rsidRPr="00191D29">
              <w:rPr>
                <w:bCs/>
              </w:rPr>
              <w:t>mandatory contribution</w:t>
            </w:r>
            <w:r w:rsidR="0087670A" w:rsidRPr="00191D29">
              <w:rPr>
                <w:bCs/>
              </w:rPr>
              <w:t>s</w:t>
            </w:r>
            <w:r w:rsidR="004A79C5" w:rsidRPr="00191D29">
              <w:rPr>
                <w:bCs/>
              </w:rPr>
              <w:t xml:space="preserve"> </w:t>
            </w:r>
            <w:r w:rsidR="00795976" w:rsidRPr="00191D29">
              <w:rPr>
                <w:bCs/>
              </w:rPr>
              <w:t xml:space="preserve">by ships </w:t>
            </w:r>
            <w:r w:rsidR="0062718F" w:rsidRPr="00191D29">
              <w:rPr>
                <w:bCs/>
              </w:rPr>
              <w:t xml:space="preserve">per tonne </w:t>
            </w:r>
            <w:r w:rsidR="002A2E58" w:rsidRPr="00191D29">
              <w:rPr>
                <w:bCs/>
              </w:rPr>
              <w:t xml:space="preserve">of </w:t>
            </w:r>
            <w:r w:rsidR="00197306" w:rsidRPr="00191D29">
              <w:rPr>
                <w:bCs/>
              </w:rPr>
              <w:t>CO</w:t>
            </w:r>
            <w:r w:rsidR="00197306" w:rsidRPr="00191D29">
              <w:rPr>
                <w:bCs/>
                <w:vertAlign w:val="subscript"/>
              </w:rPr>
              <w:t>2</w:t>
            </w:r>
            <w:r w:rsidR="00407166" w:rsidRPr="00191D29">
              <w:rPr>
                <w:bCs/>
              </w:rPr>
              <w:t>e</w:t>
            </w:r>
            <w:r w:rsidR="002A2E58" w:rsidRPr="00191D29">
              <w:rPr>
                <w:bCs/>
              </w:rPr>
              <w:t xml:space="preserve"> </w:t>
            </w:r>
            <w:r w:rsidR="00793435" w:rsidRPr="00191D29">
              <w:rPr>
                <w:bCs/>
              </w:rPr>
              <w:t>emitted</w:t>
            </w:r>
            <w:r w:rsidR="004A79C5" w:rsidRPr="00191D29">
              <w:rPr>
                <w:bCs/>
              </w:rPr>
              <w:t xml:space="preserve"> </w:t>
            </w:r>
            <w:r w:rsidR="000E63F2" w:rsidRPr="00191D29">
              <w:rPr>
                <w:bCs/>
              </w:rPr>
              <w:t>will be u</w:t>
            </w:r>
            <w:r w:rsidR="00A43119" w:rsidRPr="00191D29">
              <w:rPr>
                <w:bCs/>
              </w:rPr>
              <w:t>tili</w:t>
            </w:r>
            <w:r w:rsidR="007077DA" w:rsidRPr="00191D29">
              <w:rPr>
                <w:bCs/>
              </w:rPr>
              <w:t>z</w:t>
            </w:r>
            <w:r w:rsidR="00A43119" w:rsidRPr="00191D29">
              <w:rPr>
                <w:bCs/>
              </w:rPr>
              <w:t xml:space="preserve">ed </w:t>
            </w:r>
            <w:r w:rsidR="000E63F2" w:rsidRPr="00191D29">
              <w:rPr>
                <w:bCs/>
              </w:rPr>
              <w:t xml:space="preserve">to </w:t>
            </w:r>
            <w:r w:rsidR="0008369B" w:rsidRPr="00191D29">
              <w:rPr>
                <w:bCs/>
              </w:rPr>
              <w:t>provide rewards</w:t>
            </w:r>
            <w:r w:rsidR="00A3714D" w:rsidRPr="00191D29">
              <w:rPr>
                <w:bCs/>
              </w:rPr>
              <w:t xml:space="preserve"> </w:t>
            </w:r>
            <w:r w:rsidR="004A79C5" w:rsidRPr="00191D29">
              <w:rPr>
                <w:bCs/>
              </w:rPr>
              <w:t>to ships</w:t>
            </w:r>
            <w:r w:rsidR="00A3714D" w:rsidRPr="00191D29">
              <w:rPr>
                <w:bCs/>
              </w:rPr>
              <w:t xml:space="preserve"> us</w:t>
            </w:r>
            <w:r w:rsidR="004A79C5" w:rsidRPr="00191D29">
              <w:rPr>
                <w:bCs/>
              </w:rPr>
              <w:t>ing</w:t>
            </w:r>
            <w:r w:rsidR="00A3714D" w:rsidRPr="00191D29">
              <w:rPr>
                <w:bCs/>
              </w:rPr>
              <w:t xml:space="preserve"> eligible zero/near-zero GHG fuels</w:t>
            </w:r>
            <w:r w:rsidR="0008369B" w:rsidRPr="00191D29">
              <w:rPr>
                <w:bCs/>
              </w:rPr>
              <w:t xml:space="preserve"> </w:t>
            </w:r>
            <w:r w:rsidR="004A79C5" w:rsidRPr="00191D29">
              <w:rPr>
                <w:bCs/>
              </w:rPr>
              <w:t xml:space="preserve">through </w:t>
            </w:r>
            <w:r w:rsidR="00B46D13" w:rsidRPr="00191D29">
              <w:rPr>
                <w:bCs/>
              </w:rPr>
              <w:t xml:space="preserve">a </w:t>
            </w:r>
            <w:r w:rsidR="00793435" w:rsidRPr="00191D29">
              <w:rPr>
                <w:bCs/>
              </w:rPr>
              <w:t>“</w:t>
            </w:r>
            <w:r w:rsidR="00B46D13" w:rsidRPr="00191D29">
              <w:rPr>
                <w:bCs/>
              </w:rPr>
              <w:t>feebate</w:t>
            </w:r>
            <w:r w:rsidR="00793435" w:rsidRPr="00191D29">
              <w:rPr>
                <w:bCs/>
              </w:rPr>
              <w:t>”</w:t>
            </w:r>
            <w:r w:rsidR="00B46D13" w:rsidRPr="00191D29">
              <w:rPr>
                <w:bCs/>
              </w:rPr>
              <w:t xml:space="preserve"> mechanism</w:t>
            </w:r>
            <w:r w:rsidR="00172793" w:rsidRPr="00191D29">
              <w:rPr>
                <w:bCs/>
              </w:rPr>
              <w:t xml:space="preserve"> </w:t>
            </w:r>
            <w:r w:rsidR="009F30C9" w:rsidRPr="00191D29">
              <w:rPr>
                <w:bCs/>
              </w:rPr>
              <w:t>narrow</w:t>
            </w:r>
            <w:r w:rsidR="008A6BA9" w:rsidRPr="00191D29">
              <w:rPr>
                <w:bCs/>
              </w:rPr>
              <w:t>ing</w:t>
            </w:r>
            <w:r w:rsidR="009F30C9" w:rsidRPr="00191D29">
              <w:rPr>
                <w:bCs/>
              </w:rPr>
              <w:t xml:space="preserve"> the </w:t>
            </w:r>
            <w:r w:rsidR="00D41308" w:rsidRPr="00191D29">
              <w:rPr>
                <w:bCs/>
              </w:rPr>
              <w:t xml:space="preserve">cost </w:t>
            </w:r>
            <w:r w:rsidR="009F30C9" w:rsidRPr="00191D29">
              <w:rPr>
                <w:bCs/>
              </w:rPr>
              <w:t>gap with conventional fuels</w:t>
            </w:r>
            <w:r w:rsidR="00CD3939" w:rsidRPr="00191D29">
              <w:rPr>
                <w:bCs/>
              </w:rPr>
              <w:t>,</w:t>
            </w:r>
            <w:r w:rsidR="00172793" w:rsidRPr="00191D29">
              <w:rPr>
                <w:bCs/>
              </w:rPr>
              <w:t xml:space="preserve"> </w:t>
            </w:r>
            <w:r w:rsidR="00230D2C" w:rsidRPr="00191D29">
              <w:rPr>
                <w:bCs/>
              </w:rPr>
              <w:t>as well a</w:t>
            </w:r>
            <w:r w:rsidR="00A87C1A" w:rsidRPr="00191D29">
              <w:rPr>
                <w:bCs/>
              </w:rPr>
              <w:t>s</w:t>
            </w:r>
            <w:r w:rsidR="00230D2C" w:rsidRPr="00191D29">
              <w:rPr>
                <w:bCs/>
              </w:rPr>
              <w:t xml:space="preserve"> </w:t>
            </w:r>
            <w:r w:rsidR="00B12DD6" w:rsidRPr="00191D29">
              <w:rPr>
                <w:bCs/>
              </w:rPr>
              <w:t>provid</w:t>
            </w:r>
            <w:r w:rsidR="00230D2C" w:rsidRPr="00191D29">
              <w:rPr>
                <w:bCs/>
              </w:rPr>
              <w:t>ing</w:t>
            </w:r>
            <w:r w:rsidR="00697BEF" w:rsidRPr="00191D29">
              <w:rPr>
                <w:bCs/>
              </w:rPr>
              <w:t>,</w:t>
            </w:r>
            <w:r w:rsidR="00B12DD6" w:rsidRPr="00191D29">
              <w:rPr>
                <w:bCs/>
              </w:rPr>
              <w:t xml:space="preserve"> </w:t>
            </w:r>
            <w:r w:rsidR="0024256A" w:rsidRPr="00191D29">
              <w:rPr>
                <w:bCs/>
              </w:rPr>
              <w:t xml:space="preserve">via a separate </w:t>
            </w:r>
            <w:r w:rsidR="00CD3939" w:rsidRPr="00191D29">
              <w:rPr>
                <w:bCs/>
              </w:rPr>
              <w:t>I</w:t>
            </w:r>
            <w:r w:rsidR="0024256A" w:rsidRPr="00191D29">
              <w:rPr>
                <w:bCs/>
              </w:rPr>
              <w:t>MO (GHG) Maritime Sustainability Fund (IMSF)</w:t>
            </w:r>
            <w:r w:rsidR="00CD3939" w:rsidRPr="00191D29">
              <w:rPr>
                <w:bCs/>
              </w:rPr>
              <w:t>,</w:t>
            </w:r>
            <w:r w:rsidR="0024256A" w:rsidRPr="00191D29">
              <w:rPr>
                <w:bCs/>
              </w:rPr>
              <w:t xml:space="preserve"> </w:t>
            </w:r>
            <w:r w:rsidR="00B12DD6" w:rsidRPr="00191D29">
              <w:rPr>
                <w:bCs/>
              </w:rPr>
              <w:t xml:space="preserve">billions of </w:t>
            </w:r>
            <w:r w:rsidR="004A79C5" w:rsidRPr="00191D29">
              <w:rPr>
                <w:bCs/>
              </w:rPr>
              <w:t xml:space="preserve">US </w:t>
            </w:r>
            <w:r w:rsidR="00B12DD6" w:rsidRPr="00191D29">
              <w:rPr>
                <w:bCs/>
              </w:rPr>
              <w:t>dollars of funding</w:t>
            </w:r>
            <w:r w:rsidR="00284DAA" w:rsidRPr="00191D29">
              <w:rPr>
                <w:bCs/>
              </w:rPr>
              <w:t xml:space="preserve"> </w:t>
            </w:r>
            <w:r w:rsidR="005B1B6B" w:rsidRPr="00191D29">
              <w:rPr>
                <w:bCs/>
              </w:rPr>
              <w:t xml:space="preserve">to support </w:t>
            </w:r>
            <w:r w:rsidR="00B12DD6" w:rsidRPr="00191D29">
              <w:rPr>
                <w:bCs/>
              </w:rPr>
              <w:t xml:space="preserve">maritime GHG reduction </w:t>
            </w:r>
            <w:r w:rsidR="00372AEC" w:rsidRPr="00191D29">
              <w:rPr>
                <w:bCs/>
              </w:rPr>
              <w:t>efforts of developing countries</w:t>
            </w:r>
            <w:r w:rsidR="00BB2B13" w:rsidRPr="00191D29">
              <w:rPr>
                <w:bCs/>
              </w:rPr>
              <w:t>, especially L</w:t>
            </w:r>
            <w:r w:rsidR="009F51D3" w:rsidRPr="00191D29">
              <w:rPr>
                <w:bCs/>
              </w:rPr>
              <w:t>DCs and SIDS.</w:t>
            </w:r>
            <w:r w:rsidR="00285A81" w:rsidRPr="00191D29">
              <w:rPr>
                <w:bCs/>
              </w:rPr>
              <w:t xml:space="preserve"> </w:t>
            </w:r>
            <w:r w:rsidR="00F5478F" w:rsidRPr="00191D29">
              <w:rPr>
                <w:bCs/>
              </w:rPr>
              <w:t>A</w:t>
            </w:r>
            <w:r w:rsidR="008F6329" w:rsidRPr="00191D29">
              <w:rPr>
                <w:bCs/>
              </w:rPr>
              <w:t xml:space="preserve"> </w:t>
            </w:r>
            <w:r w:rsidR="00BF128E" w:rsidRPr="00191D29">
              <w:rPr>
                <w:bCs/>
              </w:rPr>
              <w:t xml:space="preserve">package </w:t>
            </w:r>
            <w:r w:rsidR="00C35830" w:rsidRPr="00191D29">
              <w:rPr>
                <w:bCs/>
              </w:rPr>
              <w:t xml:space="preserve">of </w:t>
            </w:r>
            <w:r w:rsidR="002F54FB" w:rsidRPr="00191D29">
              <w:rPr>
                <w:bCs/>
              </w:rPr>
              <w:t xml:space="preserve">possible </w:t>
            </w:r>
            <w:r w:rsidR="00997A86" w:rsidRPr="00191D29">
              <w:rPr>
                <w:bCs/>
              </w:rPr>
              <w:t>draft amendments</w:t>
            </w:r>
            <w:r w:rsidR="00AC698C" w:rsidRPr="00191D29">
              <w:rPr>
                <w:bCs/>
              </w:rPr>
              <w:t xml:space="preserve"> </w:t>
            </w:r>
            <w:r w:rsidR="00997A86" w:rsidRPr="00191D29">
              <w:rPr>
                <w:bCs/>
              </w:rPr>
              <w:t xml:space="preserve">to MARPOL Annex VI </w:t>
            </w:r>
            <w:r w:rsidR="00F5478F" w:rsidRPr="00191D29">
              <w:rPr>
                <w:bCs/>
              </w:rPr>
              <w:t xml:space="preserve">is provided </w:t>
            </w:r>
            <w:r w:rsidR="00997A86" w:rsidRPr="00191D29">
              <w:rPr>
                <w:bCs/>
              </w:rPr>
              <w:t xml:space="preserve">to </w:t>
            </w:r>
            <w:r w:rsidR="004A79C5" w:rsidRPr="00191D29">
              <w:rPr>
                <w:bCs/>
              </w:rPr>
              <w:t xml:space="preserve">inform </w:t>
            </w:r>
            <w:r w:rsidR="00097CF1" w:rsidRPr="00191D29">
              <w:rPr>
                <w:bCs/>
              </w:rPr>
              <w:t>a decision at MEPC 8</w:t>
            </w:r>
            <w:r w:rsidR="002D316B" w:rsidRPr="00191D29">
              <w:rPr>
                <w:bCs/>
              </w:rPr>
              <w:t>1</w:t>
            </w:r>
            <w:r w:rsidR="00097CF1" w:rsidRPr="00191D29">
              <w:rPr>
                <w:bCs/>
              </w:rPr>
              <w:t xml:space="preserve"> </w:t>
            </w:r>
            <w:r w:rsidR="00E953AD" w:rsidRPr="00191D29">
              <w:rPr>
                <w:bCs/>
              </w:rPr>
              <w:t xml:space="preserve">about measures to </w:t>
            </w:r>
            <w:r w:rsidR="007B1690" w:rsidRPr="00191D29">
              <w:rPr>
                <w:bCs/>
              </w:rPr>
              <w:t xml:space="preserve">be </w:t>
            </w:r>
            <w:r w:rsidR="00956FA6" w:rsidRPr="00191D29">
              <w:rPr>
                <w:bCs/>
              </w:rPr>
              <w:t>finalised</w:t>
            </w:r>
            <w:r w:rsidR="00E953AD" w:rsidRPr="00191D29">
              <w:rPr>
                <w:bCs/>
              </w:rPr>
              <w:t xml:space="preserve"> and </w:t>
            </w:r>
            <w:r w:rsidR="004A79C5" w:rsidRPr="00191D29">
              <w:rPr>
                <w:bCs/>
              </w:rPr>
              <w:t xml:space="preserve">to </w:t>
            </w:r>
            <w:r w:rsidR="00997A86" w:rsidRPr="00191D29">
              <w:rPr>
                <w:bCs/>
              </w:rPr>
              <w:t xml:space="preserve">expedite approval of the necessary </w:t>
            </w:r>
            <w:r w:rsidR="004A79C5" w:rsidRPr="00191D29">
              <w:rPr>
                <w:bCs/>
              </w:rPr>
              <w:t>provisions</w:t>
            </w:r>
            <w:r w:rsidR="00716920" w:rsidRPr="00191D29">
              <w:rPr>
                <w:bCs/>
              </w:rPr>
              <w:t>.</w:t>
            </w:r>
            <w:r w:rsidR="00140D70" w:rsidRPr="00191D29">
              <w:rPr>
                <w:bCs/>
              </w:rPr>
              <w:t xml:space="preserve"> </w:t>
            </w:r>
          </w:p>
        </w:tc>
      </w:tr>
      <w:tr w:rsidR="00191D29" w:rsidRPr="00191D29" w14:paraId="7147B349" w14:textId="77777777">
        <w:trPr>
          <w:jc w:val="center"/>
        </w:trPr>
        <w:tc>
          <w:tcPr>
            <w:tcW w:w="2245" w:type="dxa"/>
            <w:tcMar>
              <w:top w:w="85" w:type="dxa"/>
              <w:left w:w="85" w:type="dxa"/>
              <w:bottom w:w="85" w:type="dxa"/>
              <w:right w:w="85" w:type="dxa"/>
            </w:tcMar>
          </w:tcPr>
          <w:p w14:paraId="7AB97A4F" w14:textId="77777777" w:rsidR="00911084" w:rsidRPr="00191D29" w:rsidRDefault="001C42BF">
            <w:pPr>
              <w:spacing w:after="58"/>
              <w:rPr>
                <w:bCs/>
              </w:rPr>
            </w:pPr>
            <w:r w:rsidRPr="00191D29">
              <w:rPr>
                <w:bCs/>
                <w:i/>
              </w:rPr>
              <w:t xml:space="preserve">Strategic </w:t>
            </w:r>
            <w:r w:rsidR="00F41638" w:rsidRPr="00191D29">
              <w:rPr>
                <w:bCs/>
                <w:i/>
              </w:rPr>
              <w:t>d</w:t>
            </w:r>
            <w:r w:rsidRPr="00191D29">
              <w:rPr>
                <w:bCs/>
                <w:i/>
              </w:rPr>
              <w:t>irection, if applicable:</w:t>
            </w:r>
          </w:p>
        </w:tc>
        <w:tc>
          <w:tcPr>
            <w:tcW w:w="6755" w:type="dxa"/>
            <w:tcMar>
              <w:top w:w="85" w:type="dxa"/>
              <w:left w:w="85" w:type="dxa"/>
              <w:bottom w:w="85" w:type="dxa"/>
              <w:right w:w="85" w:type="dxa"/>
            </w:tcMar>
          </w:tcPr>
          <w:p w14:paraId="389618F1" w14:textId="118582BB" w:rsidR="00911084" w:rsidRPr="00191D29" w:rsidRDefault="00075B46">
            <w:pPr>
              <w:tabs>
                <w:tab w:val="clear" w:pos="851"/>
              </w:tabs>
              <w:spacing w:after="58"/>
              <w:rPr>
                <w:bCs/>
              </w:rPr>
            </w:pPr>
            <w:bookmarkStart w:id="9" w:name="StraDir"/>
            <w:bookmarkEnd w:id="9"/>
            <w:r w:rsidRPr="00191D29">
              <w:rPr>
                <w:bCs/>
              </w:rPr>
              <w:t>3</w:t>
            </w:r>
          </w:p>
        </w:tc>
      </w:tr>
      <w:tr w:rsidR="00191D29" w:rsidRPr="00191D29" w14:paraId="788BD2D6" w14:textId="77777777">
        <w:trPr>
          <w:jc w:val="center"/>
        </w:trPr>
        <w:tc>
          <w:tcPr>
            <w:tcW w:w="2245" w:type="dxa"/>
            <w:tcMar>
              <w:top w:w="85" w:type="dxa"/>
              <w:left w:w="85" w:type="dxa"/>
              <w:bottom w:w="85" w:type="dxa"/>
              <w:right w:w="85" w:type="dxa"/>
            </w:tcMar>
          </w:tcPr>
          <w:p w14:paraId="66B5DA46" w14:textId="77777777" w:rsidR="00911084" w:rsidRPr="00191D29" w:rsidRDefault="001C42BF">
            <w:pPr>
              <w:spacing w:after="58"/>
              <w:rPr>
                <w:bCs/>
              </w:rPr>
            </w:pPr>
            <w:r w:rsidRPr="00191D29">
              <w:rPr>
                <w:bCs/>
                <w:i/>
              </w:rPr>
              <w:t>Output:</w:t>
            </w:r>
          </w:p>
        </w:tc>
        <w:tc>
          <w:tcPr>
            <w:tcW w:w="6755" w:type="dxa"/>
            <w:tcMar>
              <w:top w:w="85" w:type="dxa"/>
              <w:left w:w="85" w:type="dxa"/>
              <w:bottom w:w="85" w:type="dxa"/>
              <w:right w:w="85" w:type="dxa"/>
            </w:tcMar>
          </w:tcPr>
          <w:p w14:paraId="698398DA" w14:textId="1853EF4E" w:rsidR="00911084" w:rsidRPr="00191D29" w:rsidRDefault="00075B46">
            <w:pPr>
              <w:tabs>
                <w:tab w:val="clear" w:pos="851"/>
              </w:tabs>
              <w:spacing w:after="58"/>
              <w:rPr>
                <w:bCs/>
              </w:rPr>
            </w:pPr>
            <w:bookmarkStart w:id="10" w:name="PlanOut"/>
            <w:bookmarkEnd w:id="10"/>
            <w:r w:rsidRPr="00191D29">
              <w:rPr>
                <w:bCs/>
              </w:rPr>
              <w:t>3.2</w:t>
            </w:r>
          </w:p>
        </w:tc>
      </w:tr>
      <w:tr w:rsidR="00191D29" w:rsidRPr="00191D29" w14:paraId="56C3FFA7" w14:textId="77777777">
        <w:trPr>
          <w:jc w:val="center"/>
        </w:trPr>
        <w:tc>
          <w:tcPr>
            <w:tcW w:w="2245" w:type="dxa"/>
            <w:tcMar>
              <w:top w:w="85" w:type="dxa"/>
              <w:left w:w="85" w:type="dxa"/>
              <w:bottom w:w="85" w:type="dxa"/>
              <w:right w:w="85" w:type="dxa"/>
            </w:tcMar>
          </w:tcPr>
          <w:p w14:paraId="27244E4F" w14:textId="77777777" w:rsidR="00911084" w:rsidRPr="00191D29" w:rsidRDefault="001C42BF">
            <w:pPr>
              <w:spacing w:after="58"/>
              <w:rPr>
                <w:bCs/>
              </w:rPr>
            </w:pPr>
            <w:r w:rsidRPr="00191D29">
              <w:rPr>
                <w:bCs/>
                <w:i/>
              </w:rPr>
              <w:t>Action to be taken:</w:t>
            </w:r>
          </w:p>
        </w:tc>
        <w:tc>
          <w:tcPr>
            <w:tcW w:w="6755" w:type="dxa"/>
            <w:tcMar>
              <w:top w:w="85" w:type="dxa"/>
              <w:left w:w="85" w:type="dxa"/>
              <w:bottom w:w="85" w:type="dxa"/>
              <w:right w:w="85" w:type="dxa"/>
            </w:tcMar>
          </w:tcPr>
          <w:p w14:paraId="36DCFC33" w14:textId="70C44103" w:rsidR="00911084" w:rsidRPr="00191D29" w:rsidRDefault="00C33EFC">
            <w:pPr>
              <w:tabs>
                <w:tab w:val="clear" w:pos="851"/>
              </w:tabs>
              <w:spacing w:after="58"/>
              <w:rPr>
                <w:bCs/>
              </w:rPr>
            </w:pPr>
            <w:bookmarkStart w:id="11" w:name="Action"/>
            <w:bookmarkEnd w:id="11"/>
            <w:r w:rsidRPr="00191D29">
              <w:rPr>
                <w:bCs/>
              </w:rPr>
              <w:t xml:space="preserve">Paragraph </w:t>
            </w:r>
            <w:r w:rsidR="0052575A" w:rsidRPr="00191D29">
              <w:rPr>
                <w:bCs/>
              </w:rPr>
              <w:t>80</w:t>
            </w:r>
          </w:p>
        </w:tc>
      </w:tr>
      <w:tr w:rsidR="00191D29" w:rsidRPr="00191D29" w14:paraId="4BF41271" w14:textId="77777777">
        <w:trPr>
          <w:jc w:val="center"/>
        </w:trPr>
        <w:tc>
          <w:tcPr>
            <w:tcW w:w="2245" w:type="dxa"/>
            <w:tcMar>
              <w:top w:w="85" w:type="dxa"/>
              <w:left w:w="85" w:type="dxa"/>
              <w:bottom w:w="85" w:type="dxa"/>
              <w:right w:w="85" w:type="dxa"/>
            </w:tcMar>
          </w:tcPr>
          <w:p w14:paraId="38337C51" w14:textId="77777777" w:rsidR="00911084" w:rsidRPr="00191D29" w:rsidRDefault="001C42BF">
            <w:pPr>
              <w:spacing w:after="58"/>
              <w:rPr>
                <w:bCs/>
              </w:rPr>
            </w:pPr>
            <w:r w:rsidRPr="00191D29">
              <w:rPr>
                <w:bCs/>
                <w:i/>
              </w:rPr>
              <w:t>Related documents:</w:t>
            </w:r>
          </w:p>
        </w:tc>
        <w:tc>
          <w:tcPr>
            <w:tcW w:w="6755" w:type="dxa"/>
            <w:tcMar>
              <w:top w:w="85" w:type="dxa"/>
              <w:left w:w="85" w:type="dxa"/>
              <w:bottom w:w="85" w:type="dxa"/>
              <w:right w:w="85" w:type="dxa"/>
            </w:tcMar>
          </w:tcPr>
          <w:p w14:paraId="2A34F051" w14:textId="3F08A0AA" w:rsidR="00C61604" w:rsidRPr="00191D29" w:rsidRDefault="006C6EA6">
            <w:pPr>
              <w:tabs>
                <w:tab w:val="clear" w:pos="851"/>
              </w:tabs>
              <w:spacing w:after="58"/>
              <w:rPr>
                <w:bCs/>
              </w:rPr>
            </w:pPr>
            <w:r w:rsidRPr="00191D29">
              <w:t xml:space="preserve">ISWG-GHG </w:t>
            </w:r>
            <w:r w:rsidRPr="009F25B3">
              <w:t>16/2/</w:t>
            </w:r>
            <w:r w:rsidR="009F25B3" w:rsidRPr="009F25B3">
              <w:t>1</w:t>
            </w:r>
            <w:r w:rsidR="00395017" w:rsidRPr="00191D29">
              <w:t>, ISWG-GHG 16/2</w:t>
            </w:r>
            <w:r w:rsidR="009F25B3">
              <w:t>/2</w:t>
            </w:r>
            <w:r w:rsidRPr="00191D29">
              <w:t>;</w:t>
            </w:r>
            <w:r w:rsidRPr="00191D29">
              <w:rPr>
                <w:bCs/>
              </w:rPr>
              <w:t xml:space="preserve"> </w:t>
            </w:r>
            <w:r w:rsidR="004A79C5" w:rsidRPr="00191D29">
              <w:rPr>
                <w:bCs/>
              </w:rPr>
              <w:t>MEPC 80/17</w:t>
            </w:r>
            <w:r w:rsidR="00B92019" w:rsidRPr="00191D29">
              <w:rPr>
                <w:bCs/>
              </w:rPr>
              <w:t>;</w:t>
            </w:r>
            <w:r w:rsidR="004A79C5" w:rsidRPr="00191D29">
              <w:rPr>
                <w:bCs/>
              </w:rPr>
              <w:t xml:space="preserve"> </w:t>
            </w:r>
            <w:r w:rsidR="00A9530F" w:rsidRPr="00191D29">
              <w:rPr>
                <w:bCs/>
              </w:rPr>
              <w:br/>
            </w:r>
            <w:r w:rsidR="00822D20" w:rsidRPr="00191D29">
              <w:rPr>
                <w:bCs/>
              </w:rPr>
              <w:t>MEPC 80/INF.39</w:t>
            </w:r>
            <w:r w:rsidR="004A79C5" w:rsidRPr="00191D29">
              <w:rPr>
                <w:bCs/>
              </w:rPr>
              <w:t xml:space="preserve">; </w:t>
            </w:r>
            <w:r w:rsidR="00822D20" w:rsidRPr="00191D29">
              <w:rPr>
                <w:bCs/>
              </w:rPr>
              <w:t xml:space="preserve">ISWG-GHG 15/3/8; </w:t>
            </w:r>
            <w:r w:rsidR="00717CC3" w:rsidRPr="00191D29">
              <w:rPr>
                <w:bCs/>
              </w:rPr>
              <w:t>ISWG-GHG 14/3</w:t>
            </w:r>
            <w:r w:rsidR="003611C9" w:rsidRPr="00191D29">
              <w:rPr>
                <w:bCs/>
              </w:rPr>
              <w:t>,</w:t>
            </w:r>
            <w:r w:rsidR="00A9530F" w:rsidRPr="00191D29">
              <w:rPr>
                <w:bCs/>
              </w:rPr>
              <w:br/>
            </w:r>
            <w:r w:rsidR="003611C9" w:rsidRPr="00191D29">
              <w:rPr>
                <w:bCs/>
              </w:rPr>
              <w:t>ISWG-GHG 14/3/1</w:t>
            </w:r>
            <w:r w:rsidR="00642978" w:rsidRPr="00191D29">
              <w:rPr>
                <w:bCs/>
              </w:rPr>
              <w:t>;</w:t>
            </w:r>
            <w:r w:rsidR="00143227">
              <w:rPr>
                <w:bCs/>
              </w:rPr>
              <w:t xml:space="preserve"> </w:t>
            </w:r>
            <w:r w:rsidR="003F7FC8" w:rsidRPr="00191D29">
              <w:rPr>
                <w:bCs/>
              </w:rPr>
              <w:t>ISWG-GHG 1</w:t>
            </w:r>
            <w:r w:rsidR="004F222C" w:rsidRPr="00191D29">
              <w:rPr>
                <w:bCs/>
              </w:rPr>
              <w:t xml:space="preserve">3/4/9; </w:t>
            </w:r>
            <w:r w:rsidR="003611C9" w:rsidRPr="00191D29">
              <w:rPr>
                <w:bCs/>
              </w:rPr>
              <w:t>ISWG-GHG 13/4/6</w:t>
            </w:r>
            <w:r w:rsidR="00642978" w:rsidRPr="00191D29">
              <w:rPr>
                <w:bCs/>
              </w:rPr>
              <w:t xml:space="preserve">; </w:t>
            </w:r>
            <w:r w:rsidR="00A9530F" w:rsidRPr="00191D29">
              <w:rPr>
                <w:bCs/>
              </w:rPr>
              <w:br/>
            </w:r>
            <w:r w:rsidR="002C6087" w:rsidRPr="00191D29">
              <w:t xml:space="preserve">ISWG-GHG 12/3/8, </w:t>
            </w:r>
            <w:r w:rsidR="00AA394D" w:rsidRPr="00191D29">
              <w:t xml:space="preserve">MEPC 76/7/11, </w:t>
            </w:r>
            <w:r w:rsidR="00911C9F" w:rsidRPr="00191D29">
              <w:rPr>
                <w:bCs/>
              </w:rPr>
              <w:t xml:space="preserve">MEPC 76/7/7; </w:t>
            </w:r>
            <w:r w:rsidR="003611C9" w:rsidRPr="00191D29">
              <w:t>ISWG-GHG 12/3/17</w:t>
            </w:r>
            <w:r w:rsidR="00A4113C" w:rsidRPr="00191D29">
              <w:t xml:space="preserve">; </w:t>
            </w:r>
            <w:r w:rsidR="00C33EFC" w:rsidRPr="00191D29">
              <w:rPr>
                <w:bCs/>
              </w:rPr>
              <w:t>resolution MEPC.</w:t>
            </w:r>
            <w:r w:rsidR="004A79C5" w:rsidRPr="00191D29">
              <w:rPr>
                <w:bCs/>
              </w:rPr>
              <w:t>377</w:t>
            </w:r>
            <w:r w:rsidR="00C33EFC" w:rsidRPr="00191D29">
              <w:rPr>
                <w:bCs/>
              </w:rPr>
              <w:t>(</w:t>
            </w:r>
            <w:r w:rsidR="004A79C5" w:rsidRPr="00191D29">
              <w:rPr>
                <w:bCs/>
              </w:rPr>
              <w:t>80</w:t>
            </w:r>
            <w:r w:rsidR="00C33EFC" w:rsidRPr="00191D29">
              <w:rPr>
                <w:bCs/>
              </w:rPr>
              <w:t>)</w:t>
            </w:r>
            <w:r w:rsidR="00CF7702" w:rsidRPr="00191D29">
              <w:rPr>
                <w:bCs/>
              </w:rPr>
              <w:t>; resolution MEPC.376(80</w:t>
            </w:r>
            <w:r w:rsidR="00B72AC7" w:rsidRPr="00191D29">
              <w:rPr>
                <w:bCs/>
              </w:rPr>
              <w:t>)</w:t>
            </w:r>
          </w:p>
        </w:tc>
      </w:tr>
    </w:tbl>
    <w:p w14:paraId="24FCF72C" w14:textId="7D8CA555" w:rsidR="00A630FA" w:rsidRPr="00191D29" w:rsidRDefault="00A630FA" w:rsidP="00B962E4">
      <w:pPr>
        <w:keepNext/>
        <w:keepLines/>
        <w:tabs>
          <w:tab w:val="clear" w:pos="851"/>
        </w:tabs>
        <w:jc w:val="left"/>
        <w:rPr>
          <w:b/>
          <w:bCs/>
        </w:rPr>
      </w:pPr>
      <w:r w:rsidRPr="00191D29">
        <w:rPr>
          <w:b/>
          <w:bCs/>
        </w:rPr>
        <w:lastRenderedPageBreak/>
        <w:t>INTRODUCTION</w:t>
      </w:r>
    </w:p>
    <w:p w14:paraId="0EA87239" w14:textId="77777777" w:rsidR="00B97942" w:rsidRPr="00191D29" w:rsidRDefault="00B97942" w:rsidP="00B962E4">
      <w:pPr>
        <w:keepNext/>
        <w:keepLines/>
        <w:tabs>
          <w:tab w:val="clear" w:pos="851"/>
        </w:tabs>
        <w:jc w:val="left"/>
        <w:rPr>
          <w:b/>
          <w:bCs/>
        </w:rPr>
      </w:pPr>
    </w:p>
    <w:p w14:paraId="6F7B21FD" w14:textId="56B02F95" w:rsidR="00D13331" w:rsidRPr="00191D29" w:rsidRDefault="006D01F7" w:rsidP="00B962E4">
      <w:pPr>
        <w:keepNext/>
        <w:keepLines/>
        <w:tabs>
          <w:tab w:val="clear" w:pos="851"/>
        </w:tabs>
      </w:pPr>
      <w:r w:rsidRPr="00191D29">
        <w:t>1</w:t>
      </w:r>
      <w:r w:rsidRPr="00191D29">
        <w:tab/>
      </w:r>
      <w:r w:rsidR="00717CC3" w:rsidRPr="00191D29">
        <w:t>As called for in</w:t>
      </w:r>
      <w:r w:rsidR="00904C40" w:rsidRPr="00191D29">
        <w:t xml:space="preserve"> </w:t>
      </w:r>
      <w:r w:rsidR="00E77464" w:rsidRPr="00191D29">
        <w:t>resolution MEPC.377(80)</w:t>
      </w:r>
      <w:r w:rsidR="00BA1A4B" w:rsidRPr="00191D29">
        <w:t xml:space="preserve">, </w:t>
      </w:r>
      <w:r w:rsidR="009F1040" w:rsidRPr="00191D29">
        <w:t>t</w:t>
      </w:r>
      <w:r w:rsidR="00904C40" w:rsidRPr="00191D29">
        <w:t xml:space="preserve">he 2023 IMO Strategy for the reduction of GHG emissions from ships (2023 IMO GHG Strategy), this document sets out </w:t>
      </w:r>
      <w:r w:rsidR="00717CC3" w:rsidRPr="00191D29">
        <w:t xml:space="preserve">a </w:t>
      </w:r>
      <w:r w:rsidR="004E67E2" w:rsidRPr="00191D29">
        <w:t xml:space="preserve">comprehensive </w:t>
      </w:r>
      <w:r w:rsidR="00894153" w:rsidRPr="00191D29">
        <w:t>proposal</w:t>
      </w:r>
      <w:r w:rsidR="00793909" w:rsidRPr="00191D29">
        <w:t xml:space="preserve"> for a </w:t>
      </w:r>
      <w:r w:rsidR="00717CC3" w:rsidRPr="00191D29">
        <w:t xml:space="preserve">maritime </w:t>
      </w:r>
      <w:r w:rsidR="00894153" w:rsidRPr="00191D29">
        <w:t xml:space="preserve">GHG </w:t>
      </w:r>
      <w:r w:rsidR="00717CC3" w:rsidRPr="00191D29">
        <w:t xml:space="preserve">emissions </w:t>
      </w:r>
      <w:r w:rsidR="00894153" w:rsidRPr="00191D29">
        <w:t>pricing mechanism</w:t>
      </w:r>
      <w:r w:rsidR="000A1F83" w:rsidRPr="00191D29">
        <w:t xml:space="preserve">. This </w:t>
      </w:r>
      <w:r w:rsidR="00430513" w:rsidRPr="00191D29">
        <w:t xml:space="preserve">uses </w:t>
      </w:r>
      <w:r w:rsidR="00D56F2F" w:rsidRPr="00191D29">
        <w:t xml:space="preserve">a </w:t>
      </w:r>
      <w:r w:rsidR="00894153" w:rsidRPr="00191D29">
        <w:t xml:space="preserve">Fund and Reward (Feebate) </w:t>
      </w:r>
      <w:r w:rsidR="003B6B06" w:rsidRPr="00191D29">
        <w:t>mechanism</w:t>
      </w:r>
      <w:r w:rsidR="00301BC7" w:rsidRPr="00191D29">
        <w:t xml:space="preserve">, with </w:t>
      </w:r>
      <w:r w:rsidR="00A9530F" w:rsidRPr="00191D29">
        <w:t xml:space="preserve">a </w:t>
      </w:r>
      <w:r w:rsidR="00301BC7" w:rsidRPr="00191D29">
        <w:t xml:space="preserve">mandatory flat rate contribution </w:t>
      </w:r>
      <w:r w:rsidR="00A9530F" w:rsidRPr="00191D29">
        <w:t xml:space="preserve">made </w:t>
      </w:r>
      <w:r w:rsidR="009E4F3A" w:rsidRPr="00191D29">
        <w:t xml:space="preserve">by the ship </w:t>
      </w:r>
      <w:r w:rsidR="00105AC9" w:rsidRPr="00191D29">
        <w:t>per tonne of CO</w:t>
      </w:r>
      <w:r w:rsidR="00105AC9" w:rsidRPr="00191D29">
        <w:rPr>
          <w:vertAlign w:val="subscript"/>
        </w:rPr>
        <w:t>2</w:t>
      </w:r>
      <w:r w:rsidR="00105AC9" w:rsidRPr="00191D29">
        <w:t xml:space="preserve"> equivalent (CO</w:t>
      </w:r>
      <w:r w:rsidR="00105AC9" w:rsidRPr="00191D29">
        <w:rPr>
          <w:vertAlign w:val="subscript"/>
        </w:rPr>
        <w:t>2</w:t>
      </w:r>
      <w:r w:rsidR="008537EA" w:rsidRPr="00191D29">
        <w:t>e)</w:t>
      </w:r>
      <w:r w:rsidR="00105AC9" w:rsidRPr="00191D29">
        <w:t xml:space="preserve"> </w:t>
      </w:r>
      <w:r w:rsidR="00AF21BA" w:rsidRPr="00191D29">
        <w:t xml:space="preserve">emitted </w:t>
      </w:r>
      <w:r w:rsidR="00823A79" w:rsidRPr="00191D29">
        <w:t xml:space="preserve">to what is now called </w:t>
      </w:r>
      <w:r w:rsidR="00EC20DE" w:rsidRPr="00191D29">
        <w:t>the</w:t>
      </w:r>
      <w:r w:rsidR="00823A79" w:rsidRPr="00191D29">
        <w:t xml:space="preserve"> </w:t>
      </w:r>
      <w:r w:rsidR="0030577E" w:rsidRPr="00191D29">
        <w:t>“</w:t>
      </w:r>
      <w:r w:rsidR="00823A79" w:rsidRPr="00191D29">
        <w:t>Zero Emission Shipping Fund</w:t>
      </w:r>
      <w:r w:rsidR="007F3EB1" w:rsidRPr="00191D29">
        <w:t>”</w:t>
      </w:r>
      <w:r w:rsidR="00823A79" w:rsidRPr="00191D29">
        <w:t xml:space="preserve"> </w:t>
      </w:r>
      <w:r w:rsidRPr="00191D29">
        <w:t>(ZESF</w:t>
      </w:r>
      <w:r w:rsidR="00F23634" w:rsidRPr="00191D29">
        <w:t>)</w:t>
      </w:r>
      <w:r w:rsidR="00B23D33" w:rsidRPr="00191D29">
        <w:t xml:space="preserve"> </w:t>
      </w:r>
      <w:r w:rsidR="008537EA" w:rsidRPr="00191D29">
        <w:t xml:space="preserve">to be administered by IMO. </w:t>
      </w:r>
      <w:r w:rsidR="00C57FA3" w:rsidRPr="00191D29">
        <w:t>Taking account of the 2023 IMO GHG Strategy</w:t>
      </w:r>
      <w:r w:rsidR="00234431" w:rsidRPr="00191D29">
        <w:t>,</w:t>
      </w:r>
      <w:r w:rsidR="00C57FA3" w:rsidRPr="00191D29">
        <w:t xml:space="preserve"> </w:t>
      </w:r>
      <w:r w:rsidR="00234431" w:rsidRPr="00191D29">
        <w:t>and f</w:t>
      </w:r>
      <w:r w:rsidR="009C08D5" w:rsidRPr="00191D29">
        <w:t xml:space="preserve">urther to document ISWG-GHG </w:t>
      </w:r>
      <w:r w:rsidR="002842E9" w:rsidRPr="00191D29">
        <w:t>14/3</w:t>
      </w:r>
      <w:r w:rsidR="00AA1AC3" w:rsidRPr="00191D29">
        <w:t xml:space="preserve"> (ICS)</w:t>
      </w:r>
      <w:r w:rsidR="002842E9" w:rsidRPr="00191D29">
        <w:t>, t</w:t>
      </w:r>
      <w:r w:rsidR="00344C9A" w:rsidRPr="00191D29">
        <w:t xml:space="preserve">he </w:t>
      </w:r>
      <w:r w:rsidR="00FC216E" w:rsidRPr="00191D29">
        <w:t>annex</w:t>
      </w:r>
      <w:r w:rsidR="002842E9" w:rsidRPr="00191D29">
        <w:t>es</w:t>
      </w:r>
      <w:r w:rsidR="00FC216E" w:rsidRPr="00191D29">
        <w:t xml:space="preserve"> to th</w:t>
      </w:r>
      <w:r w:rsidR="00122A9E" w:rsidRPr="00191D29">
        <w:t>is</w:t>
      </w:r>
      <w:r w:rsidR="00FC216E" w:rsidRPr="00191D29">
        <w:t xml:space="preserve"> document set out a </w:t>
      </w:r>
      <w:r w:rsidR="006533B6" w:rsidRPr="00191D29">
        <w:t xml:space="preserve">modified </w:t>
      </w:r>
      <w:r w:rsidR="00AD788E" w:rsidRPr="00191D29">
        <w:t xml:space="preserve">package of </w:t>
      </w:r>
      <w:r w:rsidR="00717CC3" w:rsidRPr="00191D29">
        <w:t xml:space="preserve">possible </w:t>
      </w:r>
      <w:r w:rsidR="00AD788E" w:rsidRPr="00191D29">
        <w:t xml:space="preserve">draft amendments to MARPOL Annex VI </w:t>
      </w:r>
      <w:r w:rsidR="000E03BC" w:rsidRPr="00191D29">
        <w:t xml:space="preserve">and </w:t>
      </w:r>
      <w:r w:rsidR="002D2D8D" w:rsidRPr="00191D29">
        <w:t xml:space="preserve">supporting draft </w:t>
      </w:r>
      <w:r w:rsidR="00274392" w:rsidRPr="00191D29">
        <w:t xml:space="preserve">guidelines </w:t>
      </w:r>
      <w:r w:rsidR="00A9530F" w:rsidRPr="00191D29">
        <w:t xml:space="preserve">to </w:t>
      </w:r>
      <w:r w:rsidR="00383B90" w:rsidRPr="00191D29">
        <w:t>achieve</w:t>
      </w:r>
      <w:r w:rsidR="00A9530F" w:rsidRPr="00191D29">
        <w:t xml:space="preserve"> uniform and effective</w:t>
      </w:r>
      <w:r w:rsidR="00274392" w:rsidRPr="00191D29">
        <w:t xml:space="preserve"> implementatio</w:t>
      </w:r>
      <w:r w:rsidR="00B41B9A" w:rsidRPr="00191D29">
        <w:t>n</w:t>
      </w:r>
      <w:r w:rsidR="00383B90" w:rsidRPr="00191D29">
        <w:t xml:space="preserve"> </w:t>
      </w:r>
      <w:r w:rsidR="00383B90" w:rsidRPr="000A6875">
        <w:t>and enforcement</w:t>
      </w:r>
      <w:r w:rsidR="003B5228" w:rsidRPr="000A6875">
        <w:t>.</w:t>
      </w:r>
      <w:r w:rsidR="002D2D8D" w:rsidRPr="000A6875">
        <w:t xml:space="preserve"> </w:t>
      </w:r>
      <w:r w:rsidR="0053394D" w:rsidRPr="000A6875">
        <w:t xml:space="preserve"> </w:t>
      </w:r>
    </w:p>
    <w:p w14:paraId="14007EBD" w14:textId="77777777" w:rsidR="00D13331" w:rsidRPr="00191D29" w:rsidRDefault="00D13331" w:rsidP="00B97942">
      <w:pPr>
        <w:tabs>
          <w:tab w:val="clear" w:pos="851"/>
        </w:tabs>
      </w:pPr>
    </w:p>
    <w:p w14:paraId="7BD17246" w14:textId="395A2102" w:rsidR="00B97942" w:rsidRPr="00191D29" w:rsidRDefault="00C21AE6" w:rsidP="00A9530F">
      <w:pPr>
        <w:ind w:firstLine="1"/>
      </w:pPr>
      <w:r w:rsidRPr="00191D29">
        <w:t>2</w:t>
      </w:r>
      <w:r w:rsidR="00076D9F" w:rsidRPr="00191D29">
        <w:tab/>
      </w:r>
      <w:r w:rsidR="005A3257" w:rsidRPr="00191D29">
        <w:t>T</w:t>
      </w:r>
      <w:r w:rsidR="00F23634" w:rsidRPr="00191D29">
        <w:t xml:space="preserve">o reduce the cost gap between </w:t>
      </w:r>
      <w:r w:rsidR="00A00C13" w:rsidRPr="00191D29">
        <w:t xml:space="preserve">zero and near-zero GHG fuels and conventional fuel oil, </w:t>
      </w:r>
      <w:r w:rsidR="00E15633" w:rsidRPr="00191D29">
        <w:t>and incentivi</w:t>
      </w:r>
      <w:r w:rsidR="008A0BCA">
        <w:t>z</w:t>
      </w:r>
      <w:r w:rsidR="00E15633" w:rsidRPr="00191D29">
        <w:t xml:space="preserve">e </w:t>
      </w:r>
      <w:r w:rsidR="00360E5B" w:rsidRPr="00191D29">
        <w:t xml:space="preserve">their accelerated production and uptake, </w:t>
      </w:r>
      <w:r w:rsidR="00A00C13" w:rsidRPr="00191D29">
        <w:t xml:space="preserve">the </w:t>
      </w:r>
      <w:r w:rsidR="00EE582C" w:rsidRPr="00191D29">
        <w:t xml:space="preserve">proposed </w:t>
      </w:r>
      <w:r w:rsidR="003352D1" w:rsidRPr="00191D29">
        <w:t xml:space="preserve">ZESF </w:t>
      </w:r>
      <w:r w:rsidR="00361A68" w:rsidRPr="00191D29">
        <w:t>will</w:t>
      </w:r>
      <w:r w:rsidR="003352D1" w:rsidRPr="00191D29">
        <w:t xml:space="preserve"> provide</w:t>
      </w:r>
      <w:r w:rsidR="00A9530F" w:rsidRPr="00191D29">
        <w:t xml:space="preserve"> </w:t>
      </w:r>
      <w:r w:rsidR="003352D1" w:rsidRPr="00191D29">
        <w:t xml:space="preserve">rewards to ships for </w:t>
      </w:r>
      <w:r w:rsidR="00361A68" w:rsidRPr="00191D29">
        <w:t xml:space="preserve">the </w:t>
      </w:r>
      <w:r w:rsidR="003352D1" w:rsidRPr="00191D29">
        <w:t>CO</w:t>
      </w:r>
      <w:r w:rsidR="003352D1" w:rsidRPr="00191D29">
        <w:rPr>
          <w:vertAlign w:val="subscript"/>
        </w:rPr>
        <w:t>2</w:t>
      </w:r>
      <w:r w:rsidR="003352D1" w:rsidRPr="00191D29">
        <w:t>e</w:t>
      </w:r>
      <w:r w:rsidR="00904C40" w:rsidRPr="00191D29">
        <w:t xml:space="preserve"> </w:t>
      </w:r>
      <w:r w:rsidR="00AF390F" w:rsidRPr="00191D29">
        <w:t>emission</w:t>
      </w:r>
      <w:r w:rsidR="00EE582C" w:rsidRPr="00191D29">
        <w:t>s</w:t>
      </w:r>
      <w:r w:rsidR="00AF390F" w:rsidRPr="00191D29">
        <w:t xml:space="preserve"> prevented by the use of </w:t>
      </w:r>
      <w:r w:rsidR="00B80134" w:rsidRPr="00191D29">
        <w:t>zero and near-zero GHG fuels</w:t>
      </w:r>
      <w:r w:rsidR="00D07B9B" w:rsidRPr="00191D29">
        <w:t xml:space="preserve">, whilst also </w:t>
      </w:r>
      <w:r w:rsidR="00E844FB" w:rsidRPr="00191D29">
        <w:t xml:space="preserve">providing billions of </w:t>
      </w:r>
      <w:r w:rsidR="00717CC3" w:rsidRPr="00191D29">
        <w:t xml:space="preserve">US </w:t>
      </w:r>
      <w:r w:rsidR="00E844FB" w:rsidRPr="00191D29">
        <w:t xml:space="preserve">dollars </w:t>
      </w:r>
      <w:r w:rsidR="00B91518" w:rsidRPr="00191D29">
        <w:t xml:space="preserve">of </w:t>
      </w:r>
      <w:r w:rsidR="00076D9F" w:rsidRPr="00191D29">
        <w:t xml:space="preserve">funding </w:t>
      </w:r>
      <w:r w:rsidR="007A7906" w:rsidRPr="00191D29">
        <w:t>to</w:t>
      </w:r>
      <w:r w:rsidR="006A5120" w:rsidRPr="00191D29">
        <w:t xml:space="preserve"> a</w:t>
      </w:r>
      <w:r w:rsidR="005D3C33" w:rsidRPr="00191D29">
        <w:t xml:space="preserve"> </w:t>
      </w:r>
      <w:r w:rsidR="00B97942" w:rsidRPr="00191D29">
        <w:t xml:space="preserve">separate </w:t>
      </w:r>
      <w:r w:rsidR="00015D3F" w:rsidRPr="00191D29">
        <w:t>“</w:t>
      </w:r>
      <w:r w:rsidR="00B97942" w:rsidRPr="00191D29">
        <w:t xml:space="preserve">IMO </w:t>
      </w:r>
      <w:r w:rsidR="00070C81" w:rsidRPr="00191D29">
        <w:t xml:space="preserve">(GHG) </w:t>
      </w:r>
      <w:r w:rsidR="00B97942" w:rsidRPr="00191D29">
        <w:t xml:space="preserve">Maritime Sustainability </w:t>
      </w:r>
      <w:r w:rsidR="00C637B0" w:rsidRPr="00191D29">
        <w:t>Fund</w:t>
      </w:r>
      <w:r w:rsidR="00B97942" w:rsidRPr="00191D29">
        <w:t xml:space="preserve"> </w:t>
      </w:r>
      <w:r w:rsidR="00C637B0" w:rsidRPr="00191D29">
        <w:t>(IMSF)</w:t>
      </w:r>
      <w:r w:rsidR="00015D3F" w:rsidRPr="00191D29">
        <w:t>”</w:t>
      </w:r>
      <w:r w:rsidR="00C637B0" w:rsidRPr="00191D29">
        <w:t xml:space="preserve"> </w:t>
      </w:r>
      <w:r w:rsidR="00B97942" w:rsidRPr="00191D29">
        <w:t xml:space="preserve">to </w:t>
      </w:r>
      <w:r w:rsidR="00043AF1" w:rsidRPr="00191D29">
        <w:t>support the maritime GHG reduction efforts of developing countries</w:t>
      </w:r>
      <w:r w:rsidR="0082526D" w:rsidRPr="00191D29">
        <w:t>, in particular LDCs and SIDS</w:t>
      </w:r>
      <w:r w:rsidR="000C06AC" w:rsidRPr="00191D29">
        <w:t xml:space="preserve">, to ensure </w:t>
      </w:r>
      <w:r w:rsidR="002A369E" w:rsidRPr="00191D29">
        <w:t xml:space="preserve">an equitable </w:t>
      </w:r>
      <w:r w:rsidR="000C06AC" w:rsidRPr="00191D29">
        <w:t>transition</w:t>
      </w:r>
      <w:r w:rsidR="002A369E" w:rsidRPr="00191D29">
        <w:t xml:space="preserve"> </w:t>
      </w:r>
      <w:r w:rsidR="001377B8" w:rsidRPr="00191D29">
        <w:t>which</w:t>
      </w:r>
      <w:r w:rsidR="002A369E" w:rsidRPr="00191D29">
        <w:t xml:space="preserve"> will be truly</w:t>
      </w:r>
      <w:r w:rsidR="00A9530F" w:rsidRPr="00191D29">
        <w:t xml:space="preserve"> </w:t>
      </w:r>
      <w:r w:rsidR="002A369E" w:rsidRPr="00191D29">
        <w:t>global</w:t>
      </w:r>
      <w:r w:rsidR="00083B31" w:rsidRPr="00191D29">
        <w:t xml:space="preserve"> and the achievement of net zero GHG emission</w:t>
      </w:r>
      <w:r w:rsidR="0049523D" w:rsidRPr="00191D29">
        <w:t xml:space="preserve">s </w:t>
      </w:r>
      <w:r w:rsidR="001235D1" w:rsidRPr="00191D29">
        <w:t>from international shipping</w:t>
      </w:r>
      <w:r w:rsidR="006F0123" w:rsidRPr="00191D29">
        <w:t xml:space="preserve"> </w:t>
      </w:r>
      <w:r w:rsidR="0049523D" w:rsidRPr="00191D29">
        <w:t>by, or close</w:t>
      </w:r>
      <w:r w:rsidR="00A9530F" w:rsidRPr="00191D29">
        <w:t xml:space="preserve"> </w:t>
      </w:r>
      <w:r w:rsidR="0049523D" w:rsidRPr="00191D29">
        <w:t>to, 2050.</w:t>
      </w:r>
      <w:r w:rsidR="000C06AC" w:rsidRPr="00191D29">
        <w:t xml:space="preserve"> </w:t>
      </w:r>
    </w:p>
    <w:p w14:paraId="457803E8" w14:textId="77777777" w:rsidR="00C51CBF" w:rsidRPr="00191D29" w:rsidRDefault="00C51CBF" w:rsidP="00B97942">
      <w:pPr>
        <w:tabs>
          <w:tab w:val="clear" w:pos="851"/>
        </w:tabs>
      </w:pPr>
    </w:p>
    <w:p w14:paraId="2F3A9E3E" w14:textId="0FD36D70" w:rsidR="00527F85" w:rsidRPr="00191D29" w:rsidRDefault="00C51CBF" w:rsidP="00686A7E">
      <w:pPr>
        <w:tabs>
          <w:tab w:val="clear" w:pos="851"/>
        </w:tabs>
      </w:pPr>
      <w:r w:rsidRPr="00191D29">
        <w:t>3</w:t>
      </w:r>
      <w:r w:rsidRPr="00191D29">
        <w:tab/>
      </w:r>
      <w:r w:rsidR="00377BBF" w:rsidRPr="00191D29">
        <w:t xml:space="preserve">In addition to supporting efforts to achieve the goals of the 2023 IMO GHG Strategy, the </w:t>
      </w:r>
      <w:r w:rsidRPr="00191D29">
        <w:t>principal advantage</w:t>
      </w:r>
      <w:r w:rsidR="00A86514" w:rsidRPr="00191D29">
        <w:t>s</w:t>
      </w:r>
      <w:r w:rsidRPr="00191D29">
        <w:t xml:space="preserve"> of the Fund and Reward (Feebate) mechanism</w:t>
      </w:r>
      <w:r w:rsidR="00953831" w:rsidRPr="00191D29">
        <w:t>, as set out in the annexes to this document</w:t>
      </w:r>
      <w:r w:rsidR="00D243A3" w:rsidRPr="00191D29">
        <w:t>,</w:t>
      </w:r>
      <w:r w:rsidR="00953831" w:rsidRPr="00191D29">
        <w:t xml:space="preserve"> </w:t>
      </w:r>
      <w:r w:rsidRPr="00191D29">
        <w:t>are tha</w:t>
      </w:r>
      <w:r w:rsidR="0023510A" w:rsidRPr="00191D29">
        <w:t xml:space="preserve">t: </w:t>
      </w:r>
    </w:p>
    <w:p w14:paraId="5589E22D" w14:textId="77777777" w:rsidR="00527F85" w:rsidRPr="00191D29" w:rsidRDefault="00527F85" w:rsidP="00686A7E">
      <w:pPr>
        <w:tabs>
          <w:tab w:val="clear" w:pos="851"/>
        </w:tabs>
      </w:pPr>
    </w:p>
    <w:p w14:paraId="0AF43B45" w14:textId="3D1A0E32" w:rsidR="0038271D" w:rsidRPr="00191D29" w:rsidRDefault="00527F85" w:rsidP="004A3AA8">
      <w:pPr>
        <w:tabs>
          <w:tab w:val="clear" w:pos="851"/>
        </w:tabs>
        <w:ind w:left="1691" w:hanging="840"/>
        <w:rPr>
          <w:rFonts w:cs="Arial"/>
          <w:szCs w:val="22"/>
        </w:rPr>
      </w:pPr>
      <w:r w:rsidRPr="00191D29">
        <w:t>.1</w:t>
      </w:r>
      <w:r w:rsidRPr="00191D29">
        <w:tab/>
      </w:r>
      <w:r w:rsidR="002C21D9" w:rsidRPr="00191D29">
        <w:t xml:space="preserve">the </w:t>
      </w:r>
      <w:r w:rsidR="002C21D9" w:rsidRPr="00191D29">
        <w:rPr>
          <w:rFonts w:cs="Arial"/>
          <w:szCs w:val="22"/>
        </w:rPr>
        <w:t xml:space="preserve">reward element will multiply the </w:t>
      </w:r>
      <w:r w:rsidR="002E318A" w:rsidRPr="00191D29">
        <w:rPr>
          <w:rFonts w:cs="Arial"/>
          <w:szCs w:val="22"/>
        </w:rPr>
        <w:t xml:space="preserve">effect </w:t>
      </w:r>
      <w:r w:rsidR="002C21D9" w:rsidRPr="00191D29">
        <w:rPr>
          <w:rFonts w:cs="Arial"/>
          <w:szCs w:val="22"/>
        </w:rPr>
        <w:t>of the contribution quantum on reducing the cost ga</w:t>
      </w:r>
      <w:r w:rsidR="00770096" w:rsidRPr="00191D29">
        <w:rPr>
          <w:rFonts w:cs="Arial"/>
          <w:szCs w:val="22"/>
        </w:rPr>
        <w:t>p</w:t>
      </w:r>
      <w:r w:rsidR="003361E8" w:rsidRPr="00191D29">
        <w:rPr>
          <w:rFonts w:cs="Arial"/>
          <w:szCs w:val="22"/>
        </w:rPr>
        <w:t>,</w:t>
      </w:r>
      <w:r w:rsidR="00770096" w:rsidRPr="00191D29">
        <w:rPr>
          <w:rFonts w:cs="Arial"/>
          <w:szCs w:val="22"/>
        </w:rPr>
        <w:t xml:space="preserve"> allowing </w:t>
      </w:r>
      <w:r w:rsidR="00B2673C" w:rsidRPr="00191D29">
        <w:rPr>
          <w:rFonts w:cs="Arial"/>
          <w:szCs w:val="22"/>
        </w:rPr>
        <w:t xml:space="preserve">the contribution </w:t>
      </w:r>
      <w:r w:rsidR="00AA3EF7" w:rsidRPr="00191D29">
        <w:rPr>
          <w:rFonts w:cs="Arial"/>
          <w:szCs w:val="22"/>
        </w:rPr>
        <w:t>quantum to be set a</w:t>
      </w:r>
      <w:r w:rsidR="003466F0" w:rsidRPr="00191D29">
        <w:rPr>
          <w:rFonts w:cs="Arial"/>
          <w:szCs w:val="22"/>
        </w:rPr>
        <w:t>t a</w:t>
      </w:r>
      <w:r w:rsidR="00AA3EF7" w:rsidRPr="00191D29">
        <w:rPr>
          <w:rFonts w:cs="Arial"/>
          <w:szCs w:val="22"/>
        </w:rPr>
        <w:t xml:space="preserve"> level</w:t>
      </w:r>
      <w:r w:rsidR="003361E8" w:rsidRPr="00191D29">
        <w:rPr>
          <w:rFonts w:cs="Arial"/>
          <w:szCs w:val="22"/>
        </w:rPr>
        <w:t xml:space="preserve"> </w:t>
      </w:r>
      <w:r w:rsidR="00D243A3" w:rsidRPr="00191D29">
        <w:rPr>
          <w:rFonts w:cs="Arial"/>
          <w:szCs w:val="22"/>
        </w:rPr>
        <w:t>which</w:t>
      </w:r>
      <w:r w:rsidR="00976E39" w:rsidRPr="00191D29">
        <w:rPr>
          <w:rFonts w:cs="Arial"/>
          <w:szCs w:val="22"/>
        </w:rPr>
        <w:t xml:space="preserve"> </w:t>
      </w:r>
      <w:r w:rsidR="00102A86" w:rsidRPr="00191D29">
        <w:rPr>
          <w:rFonts w:cs="Arial"/>
          <w:szCs w:val="22"/>
        </w:rPr>
        <w:t>will</w:t>
      </w:r>
      <w:r w:rsidR="003361E8" w:rsidRPr="00191D29">
        <w:rPr>
          <w:rFonts w:cs="Arial"/>
          <w:szCs w:val="22"/>
        </w:rPr>
        <w:t xml:space="preserve"> ensure </w:t>
      </w:r>
      <w:r w:rsidR="007367F3" w:rsidRPr="00191D29">
        <w:rPr>
          <w:rFonts w:cs="Arial"/>
          <w:szCs w:val="22"/>
        </w:rPr>
        <w:t xml:space="preserve">that </w:t>
      </w:r>
      <w:r w:rsidR="002C21D9" w:rsidRPr="00191D29">
        <w:rPr>
          <w:rFonts w:cs="Arial"/>
          <w:szCs w:val="22"/>
        </w:rPr>
        <w:t>disproportionately negative impacts on States</w:t>
      </w:r>
      <w:r w:rsidR="00770096" w:rsidRPr="00191D29">
        <w:rPr>
          <w:rFonts w:cs="Arial"/>
          <w:szCs w:val="22"/>
        </w:rPr>
        <w:t xml:space="preserve"> </w:t>
      </w:r>
      <w:r w:rsidR="007367F3" w:rsidRPr="00191D29">
        <w:rPr>
          <w:rFonts w:cs="Arial"/>
          <w:szCs w:val="22"/>
        </w:rPr>
        <w:t>will</w:t>
      </w:r>
      <w:r w:rsidR="00770096" w:rsidRPr="00191D29">
        <w:rPr>
          <w:rFonts w:cs="Arial"/>
          <w:szCs w:val="22"/>
        </w:rPr>
        <w:t xml:space="preserve"> be avoided</w:t>
      </w:r>
      <w:r w:rsidR="007350F8" w:rsidRPr="00191D29">
        <w:rPr>
          <w:rFonts w:cs="Arial"/>
          <w:szCs w:val="22"/>
        </w:rPr>
        <w:t>;</w:t>
      </w:r>
      <w:r w:rsidR="00A86514" w:rsidRPr="00191D29">
        <w:rPr>
          <w:rFonts w:cs="Arial"/>
          <w:szCs w:val="22"/>
        </w:rPr>
        <w:t xml:space="preserve"> </w:t>
      </w:r>
    </w:p>
    <w:p w14:paraId="3175A90B" w14:textId="77777777" w:rsidR="0038271D" w:rsidRPr="00191D29" w:rsidRDefault="0038271D" w:rsidP="00527F85">
      <w:pPr>
        <w:tabs>
          <w:tab w:val="clear" w:pos="851"/>
        </w:tabs>
        <w:ind w:left="851"/>
        <w:rPr>
          <w:rFonts w:cs="Arial"/>
          <w:szCs w:val="22"/>
        </w:rPr>
      </w:pPr>
    </w:p>
    <w:p w14:paraId="0EFD58C4" w14:textId="0CD6DEB1" w:rsidR="00032D2B" w:rsidRPr="00191D29" w:rsidRDefault="0038271D" w:rsidP="004A3AA8">
      <w:pPr>
        <w:tabs>
          <w:tab w:val="clear" w:pos="851"/>
        </w:tabs>
        <w:ind w:left="1691" w:hanging="840"/>
      </w:pPr>
      <w:r w:rsidRPr="00191D29">
        <w:rPr>
          <w:rFonts w:cs="Arial"/>
          <w:szCs w:val="22"/>
        </w:rPr>
        <w:t>.2</w:t>
      </w:r>
      <w:r w:rsidRPr="00191D29">
        <w:rPr>
          <w:rFonts w:cs="Arial"/>
          <w:szCs w:val="22"/>
        </w:rPr>
        <w:tab/>
      </w:r>
      <w:r w:rsidR="00041118" w:rsidRPr="00191D29">
        <w:rPr>
          <w:rFonts w:cs="Arial"/>
          <w:szCs w:val="22"/>
        </w:rPr>
        <w:t>the mechanism</w:t>
      </w:r>
      <w:r w:rsidR="00E971B4" w:rsidRPr="00191D29">
        <w:rPr>
          <w:rFonts w:cs="Arial"/>
          <w:szCs w:val="22"/>
        </w:rPr>
        <w:t xml:space="preserve"> will</w:t>
      </w:r>
      <w:r w:rsidR="003B1330" w:rsidRPr="00191D29">
        <w:rPr>
          <w:rFonts w:cs="Arial"/>
          <w:szCs w:val="22"/>
        </w:rPr>
        <w:t xml:space="preserve"> </w:t>
      </w:r>
      <w:r w:rsidR="000D3F9F" w:rsidRPr="00191D29">
        <w:rPr>
          <w:rFonts w:cs="Arial"/>
          <w:szCs w:val="22"/>
        </w:rPr>
        <w:t xml:space="preserve">create </w:t>
      </w:r>
      <w:r w:rsidR="000D3F9F" w:rsidRPr="00191D29">
        <w:t>m</w:t>
      </w:r>
      <w:r w:rsidR="003B1330" w:rsidRPr="00191D29">
        <w:t xml:space="preserve">inimal </w:t>
      </w:r>
      <w:r w:rsidRPr="00191D29">
        <w:t xml:space="preserve">additional </w:t>
      </w:r>
      <w:r w:rsidR="000D3F9F" w:rsidRPr="00191D29">
        <w:t>a</w:t>
      </w:r>
      <w:r w:rsidR="003B1330" w:rsidRPr="00191D29">
        <w:t xml:space="preserve">dministrative </w:t>
      </w:r>
      <w:r w:rsidR="000D3F9F" w:rsidRPr="00191D29">
        <w:t>b</w:t>
      </w:r>
      <w:r w:rsidR="003B1330" w:rsidRPr="00191D29">
        <w:t>urden</w:t>
      </w:r>
      <w:r w:rsidR="000D3F9F" w:rsidRPr="00191D29">
        <w:t xml:space="preserve"> for Administrations</w:t>
      </w:r>
      <w:r w:rsidRPr="00191D29">
        <w:t xml:space="preserve"> </w:t>
      </w:r>
      <w:r w:rsidR="00832B3A" w:rsidRPr="00191D29">
        <w:t xml:space="preserve">as it </w:t>
      </w:r>
      <w:r w:rsidRPr="00191D29">
        <w:t>us</w:t>
      </w:r>
      <w:r w:rsidR="00832B3A" w:rsidRPr="00191D29">
        <w:t>e</w:t>
      </w:r>
      <w:r w:rsidR="00E61F1E" w:rsidRPr="00191D29">
        <w:t>s</w:t>
      </w:r>
      <w:r w:rsidRPr="00191D29">
        <w:t xml:space="preserve"> information </w:t>
      </w:r>
      <w:r w:rsidR="00CF6B65" w:rsidRPr="000A6875">
        <w:t>already</w:t>
      </w:r>
      <w:r w:rsidR="00CF6B65" w:rsidRPr="00191D29">
        <w:t xml:space="preserve"> </w:t>
      </w:r>
      <w:r w:rsidRPr="00191D29">
        <w:t xml:space="preserve">reported using the </w:t>
      </w:r>
      <w:r w:rsidR="00032D2B" w:rsidRPr="00191D29">
        <w:t>IMO Fuel Oil Data Collection System (DCS)</w:t>
      </w:r>
      <w:r w:rsidR="00A8168C" w:rsidRPr="00191D29">
        <w:t xml:space="preserve"> and </w:t>
      </w:r>
      <w:r w:rsidR="00357FC5" w:rsidRPr="00191D29">
        <w:t>a</w:t>
      </w:r>
      <w:r w:rsidR="002E318A" w:rsidRPr="00191D29">
        <w:t>n</w:t>
      </w:r>
      <w:r w:rsidR="00357FC5" w:rsidRPr="00191D29">
        <w:t xml:space="preserve"> </w:t>
      </w:r>
      <w:r w:rsidR="00A8168C" w:rsidRPr="00191D29">
        <w:t xml:space="preserve">automated </w:t>
      </w:r>
      <w:r w:rsidR="00CD634A" w:rsidRPr="00191D29">
        <w:t>contribution and reward system</w:t>
      </w:r>
      <w:r w:rsidR="001D0B91" w:rsidRPr="00191D29">
        <w:t xml:space="preserve"> (see working </w:t>
      </w:r>
      <w:r w:rsidR="001F16BD" w:rsidRPr="00191D29">
        <w:t xml:space="preserve">prototype submitted </w:t>
      </w:r>
      <w:r w:rsidR="00E8100A" w:rsidRPr="00191D29">
        <w:t xml:space="preserve">by ICS </w:t>
      </w:r>
      <w:r w:rsidR="001F16BD" w:rsidRPr="00191D29">
        <w:t>as document ISWG</w:t>
      </w:r>
      <w:r w:rsidR="00806161" w:rsidRPr="00191D29">
        <w:t>-GHG 16/2/</w:t>
      </w:r>
      <w:r w:rsidR="009F25B3" w:rsidRPr="0007655D">
        <w:t>1</w:t>
      </w:r>
      <w:r w:rsidR="007613D6" w:rsidRPr="0007655D">
        <w:t>)</w:t>
      </w:r>
      <w:r w:rsidR="00032D2B" w:rsidRPr="00191D29">
        <w:t xml:space="preserve">; </w:t>
      </w:r>
      <w:r w:rsidR="004A0AAC" w:rsidRPr="00191D29">
        <w:t xml:space="preserve">and </w:t>
      </w:r>
    </w:p>
    <w:p w14:paraId="2E03D3AE" w14:textId="77777777" w:rsidR="00032D2B" w:rsidRPr="00191D29" w:rsidRDefault="00032D2B" w:rsidP="00527F85">
      <w:pPr>
        <w:tabs>
          <w:tab w:val="clear" w:pos="851"/>
        </w:tabs>
        <w:ind w:left="851"/>
      </w:pPr>
    </w:p>
    <w:p w14:paraId="09F74BA8" w14:textId="212F49B7" w:rsidR="00686A7E" w:rsidRPr="00191D29" w:rsidRDefault="00032D2B" w:rsidP="004A3AA8">
      <w:pPr>
        <w:tabs>
          <w:tab w:val="clear" w:pos="851"/>
        </w:tabs>
        <w:ind w:left="1691" w:hanging="840"/>
      </w:pPr>
      <w:r w:rsidRPr="00191D29">
        <w:t>.3</w:t>
      </w:r>
      <w:r w:rsidRPr="00191D29">
        <w:tab/>
      </w:r>
      <w:r w:rsidR="00041118" w:rsidRPr="00191D29">
        <w:t xml:space="preserve">the mechanism </w:t>
      </w:r>
      <w:r w:rsidRPr="00191D29">
        <w:t xml:space="preserve">will </w:t>
      </w:r>
      <w:r w:rsidR="00A14B3D" w:rsidRPr="00191D29">
        <w:t xml:space="preserve">provide </w:t>
      </w:r>
      <w:r w:rsidR="00686A7E" w:rsidRPr="00191D29">
        <w:t xml:space="preserve">certainty about the </w:t>
      </w:r>
      <w:r w:rsidR="00BB4377" w:rsidRPr="00191D29">
        <w:t xml:space="preserve">quantum of the </w:t>
      </w:r>
      <w:r w:rsidR="006E45BA" w:rsidRPr="00191D29">
        <w:t xml:space="preserve">annual </w:t>
      </w:r>
      <w:r w:rsidR="00686A7E" w:rsidRPr="00191D29">
        <w:t xml:space="preserve">contribution </w:t>
      </w:r>
      <w:r w:rsidR="00BB4377" w:rsidRPr="00191D29">
        <w:t xml:space="preserve">to be made by ships to the </w:t>
      </w:r>
      <w:r w:rsidR="007A7286" w:rsidRPr="00191D29">
        <w:t>IMO fund</w:t>
      </w:r>
      <w:r w:rsidRPr="00191D29">
        <w:t xml:space="preserve"> (the ZESF</w:t>
      </w:r>
      <w:r w:rsidR="00054F20" w:rsidRPr="00191D29">
        <w:t>)</w:t>
      </w:r>
      <w:r w:rsidR="00812A3F" w:rsidRPr="00191D29">
        <w:t>,</w:t>
      </w:r>
      <w:r w:rsidR="00054F20" w:rsidRPr="00191D29">
        <w:t xml:space="preserve"> </w:t>
      </w:r>
      <w:r w:rsidR="005A276A" w:rsidRPr="00191D29">
        <w:t xml:space="preserve">and certainty about </w:t>
      </w:r>
      <w:r w:rsidR="00686A7E" w:rsidRPr="00191D29">
        <w:t xml:space="preserve">the amount of funds </w:t>
      </w:r>
      <w:r w:rsidR="001F6348" w:rsidRPr="00191D29">
        <w:t xml:space="preserve">(US billions of dollars per year) </w:t>
      </w:r>
      <w:r w:rsidR="00686A7E" w:rsidRPr="00191D29">
        <w:t>that will be generate</w:t>
      </w:r>
      <w:r w:rsidR="00B25B76" w:rsidRPr="00191D29">
        <w:t xml:space="preserve">d </w:t>
      </w:r>
      <w:r w:rsidR="00D855F5" w:rsidRPr="00191D29">
        <w:t xml:space="preserve">and the </w:t>
      </w:r>
      <w:r w:rsidR="00FF2519" w:rsidRPr="00191D29">
        <w:t>economic impacts on States</w:t>
      </w:r>
      <w:r w:rsidR="007A7286" w:rsidRPr="00191D29">
        <w:t>.</w:t>
      </w:r>
    </w:p>
    <w:p w14:paraId="1095F3DD" w14:textId="77777777" w:rsidR="00EA1CA8" w:rsidRPr="00191D29" w:rsidRDefault="00EA1CA8" w:rsidP="004A3AA8">
      <w:pPr>
        <w:tabs>
          <w:tab w:val="clear" w:pos="851"/>
        </w:tabs>
        <w:ind w:left="1691" w:hanging="840"/>
      </w:pPr>
    </w:p>
    <w:p w14:paraId="7B197A37" w14:textId="4968073B" w:rsidR="00416AD3" w:rsidRPr="000A6875" w:rsidRDefault="00EA1CA8" w:rsidP="00EA1CA8">
      <w:pPr>
        <w:tabs>
          <w:tab w:val="clear" w:pos="851"/>
        </w:tabs>
      </w:pPr>
      <w:r w:rsidRPr="000A6875">
        <w:t>4</w:t>
      </w:r>
      <w:r w:rsidRPr="000A6875">
        <w:tab/>
        <w:t>The following document</w:t>
      </w:r>
      <w:r w:rsidR="00BA69DE" w:rsidRPr="000A6875">
        <w:t xml:space="preserve"> </w:t>
      </w:r>
      <w:r w:rsidR="00FB3F09" w:rsidRPr="000A6875">
        <w:t xml:space="preserve">explains and </w:t>
      </w:r>
      <w:r w:rsidR="00BA69DE" w:rsidRPr="000A6875">
        <w:t>consider</w:t>
      </w:r>
      <w:r w:rsidR="009D7E8F" w:rsidRPr="000A6875">
        <w:t>s</w:t>
      </w:r>
      <w:r w:rsidR="00416AD3" w:rsidRPr="000A6875">
        <w:t>:</w:t>
      </w:r>
    </w:p>
    <w:p w14:paraId="48C57190" w14:textId="77777777" w:rsidR="00416AD3" w:rsidRPr="000A6875" w:rsidRDefault="00416AD3" w:rsidP="00EA1CA8">
      <w:pPr>
        <w:tabs>
          <w:tab w:val="clear" w:pos="851"/>
        </w:tabs>
      </w:pPr>
    </w:p>
    <w:p w14:paraId="47391320" w14:textId="5DE3AC87" w:rsidR="00FE2152" w:rsidRPr="000A6875" w:rsidRDefault="00416AD3" w:rsidP="00FE2152">
      <w:pPr>
        <w:tabs>
          <w:tab w:val="clear" w:pos="851"/>
        </w:tabs>
        <w:ind w:left="1702" w:hanging="851"/>
      </w:pPr>
      <w:r w:rsidRPr="000A6875">
        <w:t>.1</w:t>
      </w:r>
      <w:r w:rsidRPr="000A6875">
        <w:tab/>
      </w:r>
      <w:r w:rsidR="00BA69DE" w:rsidRPr="000A6875">
        <w:t xml:space="preserve">the implications of the </w:t>
      </w:r>
      <w:r w:rsidR="00797003" w:rsidRPr="000A6875">
        <w:t>2023 IMO GHG Strategy</w:t>
      </w:r>
      <w:r w:rsidR="00E01C96" w:rsidRPr="000A6875">
        <w:t>,</w:t>
      </w:r>
      <w:r w:rsidR="00797003" w:rsidRPr="000A6875">
        <w:t xml:space="preserve"> </w:t>
      </w:r>
      <w:r w:rsidR="00BF1B2B" w:rsidRPr="000A6875">
        <w:t xml:space="preserve">and why development of </w:t>
      </w:r>
      <w:r w:rsidR="0037287B" w:rsidRPr="000A6875">
        <w:t xml:space="preserve">a </w:t>
      </w:r>
      <w:r w:rsidR="00A52DC4" w:rsidRPr="000A6875">
        <w:t xml:space="preserve">maritime </w:t>
      </w:r>
      <w:r w:rsidR="00B641DB" w:rsidRPr="000A6875">
        <w:t>GHG emissions pricing mechanism</w:t>
      </w:r>
      <w:r w:rsidR="00D1354F" w:rsidRPr="000A6875">
        <w:t xml:space="preserve">, </w:t>
      </w:r>
      <w:r w:rsidR="0037287B" w:rsidRPr="000A6875">
        <w:t xml:space="preserve">as proposed by </w:t>
      </w:r>
      <w:r w:rsidR="00B93900">
        <w:t>the co-s</w:t>
      </w:r>
      <w:r w:rsidR="006A3AA2">
        <w:t>ponsor</w:t>
      </w:r>
      <w:r w:rsidR="0073718A" w:rsidRPr="000A6875">
        <w:t>,</w:t>
      </w:r>
      <w:r w:rsidR="00BF1B2B" w:rsidRPr="000A6875">
        <w:t xml:space="preserve"> </w:t>
      </w:r>
      <w:r w:rsidR="00663F16" w:rsidRPr="000A6875">
        <w:t>which</w:t>
      </w:r>
      <w:r w:rsidR="00BF1B2B" w:rsidRPr="000A6875">
        <w:t xml:space="preserve"> will </w:t>
      </w:r>
      <w:r w:rsidR="00522685" w:rsidRPr="000A6875">
        <w:t xml:space="preserve">meaningfully </w:t>
      </w:r>
      <w:r w:rsidR="00A52DC4" w:rsidRPr="000A6875">
        <w:t>incentivi</w:t>
      </w:r>
      <w:r w:rsidR="00F31395" w:rsidRPr="000A6875">
        <w:t>z</w:t>
      </w:r>
      <w:r w:rsidR="00A52DC4" w:rsidRPr="000A6875">
        <w:t xml:space="preserve">e </w:t>
      </w:r>
      <w:r w:rsidR="00BF1B2B" w:rsidRPr="000A6875">
        <w:t xml:space="preserve">the </w:t>
      </w:r>
      <w:r w:rsidR="007D5085" w:rsidRPr="000A6875">
        <w:t xml:space="preserve">production </w:t>
      </w:r>
      <w:r w:rsidR="00030155" w:rsidRPr="000A6875">
        <w:t xml:space="preserve">and </w:t>
      </w:r>
      <w:r w:rsidR="00663F16" w:rsidRPr="000A6875">
        <w:t xml:space="preserve">uptake </w:t>
      </w:r>
      <w:r w:rsidR="00C46B33" w:rsidRPr="000A6875">
        <w:t xml:space="preserve">of zero/near-zero </w:t>
      </w:r>
      <w:r w:rsidR="00B20E5B" w:rsidRPr="000A6875">
        <w:t xml:space="preserve">GHG </w:t>
      </w:r>
      <w:r w:rsidR="00C46B33" w:rsidRPr="000A6875">
        <w:t>fuels</w:t>
      </w:r>
      <w:r w:rsidR="001D22FD" w:rsidRPr="000A6875">
        <w:t xml:space="preserve"> i</w:t>
      </w:r>
      <w:r w:rsidR="00A52DC4" w:rsidRPr="000A6875">
        <w:t>s urgently needed</w:t>
      </w:r>
      <w:r w:rsidR="00663F16" w:rsidRPr="000A6875">
        <w:t xml:space="preserve"> </w:t>
      </w:r>
      <w:r w:rsidR="00950658" w:rsidRPr="000A6875">
        <w:t xml:space="preserve">to </w:t>
      </w:r>
      <w:r w:rsidR="00663F16" w:rsidRPr="000A6875">
        <w:t xml:space="preserve">ensure </w:t>
      </w:r>
      <w:r w:rsidR="00BA6A03" w:rsidRPr="000A6875">
        <w:t xml:space="preserve">achievement </w:t>
      </w:r>
      <w:r w:rsidR="00B95146" w:rsidRPr="000A6875">
        <w:t xml:space="preserve">of the </w:t>
      </w:r>
      <w:r w:rsidR="004F23F7" w:rsidRPr="000A6875">
        <w:t xml:space="preserve">new </w:t>
      </w:r>
      <w:r w:rsidR="000627E8" w:rsidRPr="000A6875">
        <w:t xml:space="preserve">level </w:t>
      </w:r>
      <w:r w:rsidR="0019796A" w:rsidRPr="000A6875">
        <w:t>of ambition</w:t>
      </w:r>
      <w:r w:rsidR="00A52DC4" w:rsidRPr="000A6875">
        <w:t xml:space="preserve"> </w:t>
      </w:r>
      <w:r w:rsidR="00A25E65" w:rsidRPr="000A6875">
        <w:t>for</w:t>
      </w:r>
      <w:r w:rsidR="00A52DC4" w:rsidRPr="000A6875">
        <w:t xml:space="preserve"> </w:t>
      </w:r>
      <w:r w:rsidR="0019796A" w:rsidRPr="000A6875">
        <w:t xml:space="preserve">5 to 10% </w:t>
      </w:r>
      <w:r w:rsidR="00A25E65" w:rsidRPr="000A6875">
        <w:t xml:space="preserve">of the energy used by international shipping </w:t>
      </w:r>
      <w:r w:rsidR="00FF50E3" w:rsidRPr="000A6875">
        <w:t xml:space="preserve">to </w:t>
      </w:r>
      <w:r w:rsidR="005623AF">
        <w:t>come</w:t>
      </w:r>
      <w:r w:rsidR="00FF50E3" w:rsidRPr="000A6875">
        <w:t xml:space="preserve"> from zero</w:t>
      </w:r>
      <w:r w:rsidR="005B1AF0" w:rsidRPr="000A6875">
        <w:t xml:space="preserve">/near-zero </w:t>
      </w:r>
      <w:r w:rsidR="00E872CF">
        <w:t xml:space="preserve">GHG </w:t>
      </w:r>
      <w:r w:rsidR="005B1AF0" w:rsidRPr="000A6875">
        <w:t>fuels</w:t>
      </w:r>
      <w:r w:rsidR="00460E18">
        <w:t>.</w:t>
      </w:r>
      <w:r w:rsidR="00796CEE" w:rsidRPr="000A6875">
        <w:t xml:space="preserve"> </w:t>
      </w:r>
      <w:r w:rsidR="002E62D4" w:rsidRPr="000A6875">
        <w:t xml:space="preserve">technologies </w:t>
      </w:r>
      <w:r w:rsidR="00796CEE" w:rsidRPr="000A6875">
        <w:t>and</w:t>
      </w:r>
      <w:r w:rsidR="002E62D4" w:rsidRPr="000A6875">
        <w:t>/</w:t>
      </w:r>
      <w:r w:rsidR="00796CEE" w:rsidRPr="000A6875">
        <w:t xml:space="preserve">or energy source </w:t>
      </w:r>
      <w:r w:rsidR="00151C86" w:rsidRPr="000A6875">
        <w:t>by 2030</w:t>
      </w:r>
      <w:r w:rsidR="0050261F" w:rsidRPr="000A6875">
        <w:t>,</w:t>
      </w:r>
      <w:r w:rsidR="005B1AF0" w:rsidRPr="000A6875">
        <w:t xml:space="preserve"> on a pathway to net zero</w:t>
      </w:r>
      <w:r w:rsidR="00C20C5B" w:rsidRPr="000A6875">
        <w:t xml:space="preserve">, so that the other </w:t>
      </w:r>
      <w:r w:rsidR="006F7474" w:rsidRPr="000A6875">
        <w:t xml:space="preserve">GHG reduction </w:t>
      </w:r>
      <w:r w:rsidR="00C20C5B" w:rsidRPr="000A6875">
        <w:t xml:space="preserve">goals </w:t>
      </w:r>
      <w:r w:rsidR="0088371D" w:rsidRPr="000A6875">
        <w:t>agreed by MEPC 80 will remain feasible an</w:t>
      </w:r>
      <w:r w:rsidR="006F7474" w:rsidRPr="000A6875">
        <w:t>d</w:t>
      </w:r>
      <w:r w:rsidR="0088371D" w:rsidRPr="000A6875">
        <w:t xml:space="preserve"> plausible;</w:t>
      </w:r>
      <w:r w:rsidR="005B1AF0" w:rsidRPr="000A6875">
        <w:t xml:space="preserve"> </w:t>
      </w:r>
      <w:r w:rsidR="00FE2152" w:rsidRPr="000A6875">
        <w:t xml:space="preserve"> </w:t>
      </w:r>
    </w:p>
    <w:p w14:paraId="1FFD2D53" w14:textId="68199BD7" w:rsidR="00805505" w:rsidRPr="000A6875" w:rsidRDefault="00FE2152" w:rsidP="00DE29DC">
      <w:pPr>
        <w:tabs>
          <w:tab w:val="clear" w:pos="851"/>
        </w:tabs>
        <w:spacing w:before="240"/>
        <w:ind w:left="1702" w:hanging="851"/>
      </w:pPr>
      <w:r w:rsidRPr="000A6875">
        <w:t>.2</w:t>
      </w:r>
      <w:r w:rsidRPr="000A6875">
        <w:tab/>
      </w:r>
      <w:r w:rsidR="006977F1" w:rsidRPr="000A6875">
        <w:t xml:space="preserve">the background </w:t>
      </w:r>
      <w:r w:rsidR="00E54760" w:rsidRPr="000A6875">
        <w:t xml:space="preserve">to </w:t>
      </w:r>
      <w:r w:rsidR="0028718B" w:rsidRPr="000A6875">
        <w:t>th</w:t>
      </w:r>
      <w:r w:rsidR="006C711A">
        <w:t>is</w:t>
      </w:r>
      <w:r w:rsidR="0028718B" w:rsidRPr="000A6875">
        <w:t xml:space="preserve"> </w:t>
      </w:r>
      <w:r w:rsidR="00E54760" w:rsidRPr="000A6875">
        <w:t xml:space="preserve">modified proposal for </w:t>
      </w:r>
      <w:r w:rsidR="00315BBB" w:rsidRPr="000A6875">
        <w:t xml:space="preserve">a </w:t>
      </w:r>
      <w:r w:rsidR="00BF0434" w:rsidRPr="000A6875">
        <w:t>F</w:t>
      </w:r>
      <w:r w:rsidR="00E54760" w:rsidRPr="000A6875">
        <w:t xml:space="preserve">und and </w:t>
      </w:r>
      <w:r w:rsidR="00BF0434" w:rsidRPr="000A6875">
        <w:t>R</w:t>
      </w:r>
      <w:r w:rsidR="00E54760" w:rsidRPr="000A6875">
        <w:t>eward (</w:t>
      </w:r>
      <w:r w:rsidR="00BF0434" w:rsidRPr="000A6875">
        <w:t>F</w:t>
      </w:r>
      <w:r w:rsidR="00E54760" w:rsidRPr="000A6875">
        <w:t xml:space="preserve">eebate) </w:t>
      </w:r>
      <w:r w:rsidR="0083040F" w:rsidRPr="000A6875">
        <w:t>mechanism</w:t>
      </w:r>
      <w:r w:rsidR="00315BBB" w:rsidRPr="000A6875">
        <w:t xml:space="preserve">, </w:t>
      </w:r>
      <w:r w:rsidR="005837E3" w:rsidRPr="000A6875">
        <w:t xml:space="preserve">and the </w:t>
      </w:r>
      <w:r w:rsidR="00BF0434" w:rsidRPr="000A6875">
        <w:t xml:space="preserve">previous </w:t>
      </w:r>
      <w:r w:rsidR="005837E3" w:rsidRPr="000A6875">
        <w:t>s</w:t>
      </w:r>
      <w:r w:rsidR="0083040F" w:rsidRPr="000A6875">
        <w:t>upport from a wide cross section of Member</w:t>
      </w:r>
      <w:r w:rsidR="00DC456A" w:rsidRPr="000A6875">
        <w:t xml:space="preserve"> </w:t>
      </w:r>
      <w:r w:rsidR="00DC456A" w:rsidRPr="000A6875">
        <w:lastRenderedPageBreak/>
        <w:t xml:space="preserve">States </w:t>
      </w:r>
      <w:r w:rsidR="00A1556F" w:rsidRPr="000A6875">
        <w:t xml:space="preserve">for </w:t>
      </w:r>
      <w:r w:rsidR="005837E3" w:rsidRPr="000A6875">
        <w:t>a</w:t>
      </w:r>
      <w:r w:rsidR="00C04F15" w:rsidRPr="000A6875">
        <w:t>n economic</w:t>
      </w:r>
      <w:r w:rsidR="005837E3" w:rsidRPr="000A6875">
        <w:t xml:space="preserve"> </w:t>
      </w:r>
      <w:r w:rsidR="00752F42" w:rsidRPr="000A6875">
        <w:t>measure</w:t>
      </w:r>
      <w:r w:rsidR="00DC456A" w:rsidRPr="000A6875">
        <w:t xml:space="preserve"> using a flat rate </w:t>
      </w:r>
      <w:r w:rsidR="00F14D4D" w:rsidRPr="000A6875">
        <w:t>contribution system</w:t>
      </w:r>
      <w:r w:rsidR="00805505" w:rsidRPr="000A6875">
        <w:t>,</w:t>
      </w:r>
      <w:r w:rsidR="00C94178" w:rsidRPr="000A6875">
        <w:t xml:space="preserve"> </w:t>
      </w:r>
      <w:r w:rsidR="00804C77" w:rsidRPr="000A6875">
        <w:t>including the use of rewards</w:t>
      </w:r>
      <w:r w:rsidR="0032541D" w:rsidRPr="000A6875">
        <w:t xml:space="preserve"> to ships using zero</w:t>
      </w:r>
      <w:r w:rsidR="00FA1D59" w:rsidRPr="000A6875">
        <w:t xml:space="preserve"> or </w:t>
      </w:r>
      <w:r w:rsidR="0032541D" w:rsidRPr="000A6875">
        <w:t>nea</w:t>
      </w:r>
      <w:r w:rsidR="00FA1D59" w:rsidRPr="000A6875">
        <w:t>r-zero</w:t>
      </w:r>
      <w:r w:rsidR="0032541D" w:rsidRPr="000A6875">
        <w:t xml:space="preserve"> GHG fuels</w:t>
      </w:r>
      <w:r w:rsidR="003200BF" w:rsidRPr="000A6875">
        <w:t xml:space="preserve"> </w:t>
      </w:r>
      <w:r w:rsidR="006F311F" w:rsidRPr="000A6875">
        <w:t xml:space="preserve">which </w:t>
      </w:r>
      <w:r w:rsidR="003200BF" w:rsidRPr="000A6875">
        <w:t xml:space="preserve">(complemented by a </w:t>
      </w:r>
      <w:r w:rsidR="00186E68" w:rsidRPr="000A6875">
        <w:t xml:space="preserve">separate </w:t>
      </w:r>
      <w:r w:rsidR="003200BF" w:rsidRPr="000A6875">
        <w:t>Global GHG Fuel Standard</w:t>
      </w:r>
      <w:r w:rsidR="00350A1B" w:rsidRPr="000A6875">
        <w:t xml:space="preserve">) </w:t>
      </w:r>
      <w:r w:rsidR="005837E3" w:rsidRPr="000A6875">
        <w:t xml:space="preserve">suggests this </w:t>
      </w:r>
      <w:r w:rsidR="007D5E8F" w:rsidRPr="000A6875">
        <w:t>could form the basis for consensus</w:t>
      </w:r>
      <w:r w:rsidR="00805505" w:rsidRPr="000A6875">
        <w:t>, and that the Group should recommend such an approach to MEPC 81</w:t>
      </w:r>
      <w:r w:rsidR="0088781F" w:rsidRPr="000A6875">
        <w:t>;</w:t>
      </w:r>
    </w:p>
    <w:p w14:paraId="3B093181" w14:textId="79BB8C94" w:rsidR="00EE4B70" w:rsidRPr="000A6875" w:rsidRDefault="00E54760" w:rsidP="00C43371">
      <w:pPr>
        <w:tabs>
          <w:tab w:val="clear" w:pos="851"/>
        </w:tabs>
        <w:ind w:left="1702" w:hanging="851"/>
      </w:pPr>
      <w:r w:rsidRPr="000A6875">
        <w:t xml:space="preserve"> </w:t>
      </w:r>
    </w:p>
    <w:p w14:paraId="733E2C8D" w14:textId="00B32718" w:rsidR="008704B2" w:rsidRPr="000A6875" w:rsidRDefault="001B7FFA" w:rsidP="00322019">
      <w:pPr>
        <w:tabs>
          <w:tab w:val="clear" w:pos="851"/>
        </w:tabs>
        <w:ind w:left="1702" w:hanging="851"/>
      </w:pPr>
      <w:r w:rsidRPr="000A6875">
        <w:t>.3</w:t>
      </w:r>
      <w:r w:rsidRPr="000A6875">
        <w:tab/>
      </w:r>
      <w:r w:rsidR="00704374" w:rsidRPr="000A6875">
        <w:t xml:space="preserve">an overview </w:t>
      </w:r>
      <w:r w:rsidR="00930D10" w:rsidRPr="000A6875">
        <w:t xml:space="preserve">of the modified proposal for a Fund and Reward </w:t>
      </w:r>
      <w:r w:rsidRPr="000A6875">
        <w:t>(</w:t>
      </w:r>
      <w:r w:rsidR="00930D10" w:rsidRPr="000A6875">
        <w:t>Feebate</w:t>
      </w:r>
      <w:r w:rsidRPr="000A6875">
        <w:t>)</w:t>
      </w:r>
      <w:r w:rsidR="00930D10" w:rsidRPr="000A6875">
        <w:t xml:space="preserve"> </w:t>
      </w:r>
      <w:r w:rsidR="00220589" w:rsidRPr="000A6875">
        <w:t xml:space="preserve">mechanism </w:t>
      </w:r>
      <w:r w:rsidR="003200BF" w:rsidRPr="000A6875">
        <w:t>as a maritime GHG emissions pricing mechanism</w:t>
      </w:r>
      <w:r w:rsidR="0088781F" w:rsidRPr="000A6875">
        <w:t>;</w:t>
      </w:r>
      <w:r w:rsidR="003200BF" w:rsidRPr="000A6875">
        <w:t xml:space="preserve">  </w:t>
      </w:r>
    </w:p>
    <w:p w14:paraId="2A08B4D6" w14:textId="77777777" w:rsidR="008704B2" w:rsidRPr="000A6875" w:rsidRDefault="008704B2" w:rsidP="00322019">
      <w:pPr>
        <w:tabs>
          <w:tab w:val="clear" w:pos="851"/>
        </w:tabs>
        <w:ind w:left="1702" w:hanging="851"/>
      </w:pPr>
    </w:p>
    <w:p w14:paraId="16718BD7" w14:textId="5C4AE6AF" w:rsidR="0028657D" w:rsidRPr="000A6875" w:rsidRDefault="008704B2" w:rsidP="00212CD3">
      <w:pPr>
        <w:tabs>
          <w:tab w:val="clear" w:pos="851"/>
        </w:tabs>
        <w:ind w:left="1702" w:hanging="851"/>
        <w:rPr>
          <w:b/>
          <w:bCs/>
        </w:rPr>
      </w:pPr>
      <w:r w:rsidRPr="000A6875">
        <w:t>.4</w:t>
      </w:r>
      <w:r w:rsidRPr="000A6875">
        <w:tab/>
        <w:t>the advantages of a Fund and Reward (Feebate) mechanism</w:t>
      </w:r>
      <w:r w:rsidR="00016C5F" w:rsidRPr="000A6875">
        <w:t xml:space="preserve"> including: how the </w:t>
      </w:r>
      <w:r w:rsidR="00016C5F" w:rsidRPr="000A6875">
        <w:rPr>
          <w:rFonts w:cs="Arial"/>
          <w:szCs w:val="22"/>
        </w:rPr>
        <w:t>reward element will multiply the effect of the contribution quantum on reducing the cost gap avoiding disproportionately negative impacts on States;</w:t>
      </w:r>
      <w:r w:rsidR="001031F8" w:rsidRPr="000A6875">
        <w:rPr>
          <w:b/>
          <w:bCs/>
        </w:rPr>
        <w:t xml:space="preserve"> </w:t>
      </w:r>
      <w:r w:rsidR="001031F8" w:rsidRPr="000A6875">
        <w:t>the minimal administrative burden</w:t>
      </w:r>
      <w:r w:rsidR="002D5E7E" w:rsidRPr="000A6875">
        <w:t xml:space="preserve"> on </w:t>
      </w:r>
      <w:r w:rsidR="005E07A4" w:rsidRPr="000A6875">
        <w:t>Administrations</w:t>
      </w:r>
      <w:r w:rsidR="0028718B" w:rsidRPr="000A6875">
        <w:t>;</w:t>
      </w:r>
      <w:r w:rsidR="001031F8" w:rsidRPr="000A6875">
        <w:t xml:space="preserve"> </w:t>
      </w:r>
      <w:r w:rsidR="005E07A4" w:rsidRPr="000A6875">
        <w:t xml:space="preserve">and </w:t>
      </w:r>
      <w:r w:rsidR="0028718B" w:rsidRPr="000A6875">
        <w:t>c</w:t>
      </w:r>
      <w:r w:rsidR="001031F8" w:rsidRPr="000A6875">
        <w:t>ertainty about the contribution quantum and the amount of funds that will be generated</w:t>
      </w:r>
      <w:r w:rsidR="0028718B" w:rsidRPr="000A6875">
        <w:t>;</w:t>
      </w:r>
      <w:r w:rsidR="0028657D" w:rsidRPr="000A6875">
        <w:rPr>
          <w:b/>
          <w:bCs/>
        </w:rPr>
        <w:t xml:space="preserve"> </w:t>
      </w:r>
    </w:p>
    <w:p w14:paraId="4568253A" w14:textId="77777777" w:rsidR="0028657D" w:rsidRPr="000A6875" w:rsidRDefault="0028657D" w:rsidP="00212CD3">
      <w:pPr>
        <w:tabs>
          <w:tab w:val="clear" w:pos="851"/>
        </w:tabs>
        <w:ind w:left="1702" w:hanging="851"/>
        <w:rPr>
          <w:b/>
          <w:bCs/>
        </w:rPr>
      </w:pPr>
    </w:p>
    <w:p w14:paraId="2E786BE4" w14:textId="04F7D5E2" w:rsidR="003319D4" w:rsidRPr="000A6875" w:rsidRDefault="0028657D" w:rsidP="00DE29DC">
      <w:pPr>
        <w:keepNext/>
        <w:keepLines/>
        <w:tabs>
          <w:tab w:val="clear" w:pos="851"/>
        </w:tabs>
        <w:ind w:left="1702" w:hanging="854"/>
        <w:rPr>
          <w:szCs w:val="22"/>
        </w:rPr>
      </w:pPr>
      <w:r w:rsidRPr="000A6875">
        <w:t>.</w:t>
      </w:r>
      <w:r w:rsidR="00DA57A2" w:rsidRPr="000A6875">
        <w:t>5</w:t>
      </w:r>
      <w:r w:rsidRPr="000A6875">
        <w:rPr>
          <w:b/>
          <w:bCs/>
        </w:rPr>
        <w:tab/>
      </w:r>
      <w:r w:rsidRPr="000A6875">
        <w:rPr>
          <w:szCs w:val="22"/>
        </w:rPr>
        <w:t>key new aspects of the modified proposal including</w:t>
      </w:r>
      <w:r w:rsidR="00663ACE" w:rsidRPr="000A6875">
        <w:rPr>
          <w:b/>
          <w:bCs/>
          <w:szCs w:val="22"/>
        </w:rPr>
        <w:t>:</w:t>
      </w:r>
      <w:r w:rsidR="00711F94" w:rsidRPr="000A6875">
        <w:rPr>
          <w:b/>
          <w:bCs/>
          <w:szCs w:val="22"/>
        </w:rPr>
        <w:t xml:space="preserve"> </w:t>
      </w:r>
      <w:r w:rsidR="00711F94" w:rsidRPr="000A6875">
        <w:rPr>
          <w:szCs w:val="22"/>
        </w:rPr>
        <w:t xml:space="preserve">use of the term </w:t>
      </w:r>
      <w:r w:rsidR="00663ACE" w:rsidRPr="000A6875">
        <w:rPr>
          <w:szCs w:val="22"/>
        </w:rPr>
        <w:t>“</w:t>
      </w:r>
      <w:r w:rsidR="00CC353C" w:rsidRPr="000A6875">
        <w:rPr>
          <w:szCs w:val="22"/>
        </w:rPr>
        <w:t>Zero Emission Shipping Fund</w:t>
      </w:r>
      <w:r w:rsidR="00663ACE" w:rsidRPr="000A6875">
        <w:rPr>
          <w:szCs w:val="22"/>
        </w:rPr>
        <w:t>”</w:t>
      </w:r>
      <w:r w:rsidR="00CC353C" w:rsidRPr="000A6875">
        <w:rPr>
          <w:szCs w:val="22"/>
        </w:rPr>
        <w:t>;</w:t>
      </w:r>
      <w:r w:rsidR="00CC353C" w:rsidRPr="000A6875">
        <w:rPr>
          <w:b/>
          <w:bCs/>
          <w:szCs w:val="22"/>
        </w:rPr>
        <w:t xml:space="preserve"> </w:t>
      </w:r>
      <w:r w:rsidR="00711F94" w:rsidRPr="000A6875">
        <w:rPr>
          <w:szCs w:val="22"/>
        </w:rPr>
        <w:t xml:space="preserve">establishing a separate </w:t>
      </w:r>
      <w:r w:rsidR="0079210C" w:rsidRPr="000A6875">
        <w:rPr>
          <w:szCs w:val="22"/>
        </w:rPr>
        <w:t>IMO (GHG) Maritime Sustainability Fund</w:t>
      </w:r>
      <w:r w:rsidR="00711F94" w:rsidRPr="000A6875">
        <w:rPr>
          <w:szCs w:val="22"/>
        </w:rPr>
        <w:t xml:space="preserve"> to support developing countries</w:t>
      </w:r>
      <w:r w:rsidR="0079210C" w:rsidRPr="000A6875">
        <w:rPr>
          <w:szCs w:val="22"/>
        </w:rPr>
        <w:t>;</w:t>
      </w:r>
      <w:r w:rsidRPr="000A6875">
        <w:rPr>
          <w:szCs w:val="22"/>
        </w:rPr>
        <w:t xml:space="preserve"> </w:t>
      </w:r>
      <w:r w:rsidR="00DC0D98" w:rsidRPr="000A6875">
        <w:rPr>
          <w:szCs w:val="22"/>
        </w:rPr>
        <w:t>the contribution and reward rate</w:t>
      </w:r>
      <w:r w:rsidR="00757B60" w:rsidRPr="000A6875">
        <w:rPr>
          <w:szCs w:val="22"/>
        </w:rPr>
        <w:t>:</w:t>
      </w:r>
      <w:r w:rsidR="004B37FE" w:rsidRPr="000A6875">
        <w:rPr>
          <w:szCs w:val="22"/>
        </w:rPr>
        <w:t xml:space="preserve"> </w:t>
      </w:r>
      <w:r w:rsidR="0050293D" w:rsidRPr="000A6875">
        <w:rPr>
          <w:szCs w:val="22"/>
        </w:rPr>
        <w:t xml:space="preserve">suggested </w:t>
      </w:r>
      <w:r w:rsidR="007A64B6" w:rsidRPr="000A6875">
        <w:rPr>
          <w:szCs w:val="22"/>
        </w:rPr>
        <w:t>treatment of life-cycle emissions</w:t>
      </w:r>
      <w:r w:rsidR="001D1181" w:rsidRPr="000A6875">
        <w:rPr>
          <w:szCs w:val="22"/>
        </w:rPr>
        <w:t xml:space="preserve">; </w:t>
      </w:r>
      <w:r w:rsidR="00FA5BCF" w:rsidRPr="000A6875">
        <w:rPr>
          <w:szCs w:val="22"/>
        </w:rPr>
        <w:t xml:space="preserve">support for seafarer training and promotion of </w:t>
      </w:r>
      <w:r w:rsidR="00812F89" w:rsidRPr="000A6875">
        <w:rPr>
          <w:szCs w:val="22"/>
        </w:rPr>
        <w:t>a just transition</w:t>
      </w:r>
      <w:r w:rsidR="00E62D21" w:rsidRPr="000A6875">
        <w:rPr>
          <w:szCs w:val="22"/>
        </w:rPr>
        <w:t>;</w:t>
      </w:r>
      <w:r w:rsidR="006A6257" w:rsidRPr="000A6875">
        <w:rPr>
          <w:szCs w:val="22"/>
        </w:rPr>
        <w:t xml:space="preserve"> and measures to ensure that smaller ships </w:t>
      </w:r>
      <w:r w:rsidR="008458A3" w:rsidRPr="000A6875">
        <w:rPr>
          <w:szCs w:val="22"/>
        </w:rPr>
        <w:t xml:space="preserve">using zero/near-zero GHG fuels can be eligible for rewards even if they fall below the </w:t>
      </w:r>
      <w:r w:rsidR="00154796" w:rsidRPr="000A6875">
        <w:rPr>
          <w:szCs w:val="22"/>
        </w:rPr>
        <w:t xml:space="preserve">possible </w:t>
      </w:r>
      <w:r w:rsidR="00930A93" w:rsidRPr="000A6875">
        <w:rPr>
          <w:szCs w:val="22"/>
        </w:rPr>
        <w:t xml:space="preserve">initial </w:t>
      </w:r>
      <w:r w:rsidR="00154796" w:rsidRPr="000A6875">
        <w:rPr>
          <w:szCs w:val="22"/>
        </w:rPr>
        <w:t xml:space="preserve">[5,000] </w:t>
      </w:r>
      <w:r w:rsidR="002D448B" w:rsidRPr="000A6875">
        <w:rPr>
          <w:szCs w:val="22"/>
        </w:rPr>
        <w:t xml:space="preserve">gross </w:t>
      </w:r>
      <w:r w:rsidR="008458A3" w:rsidRPr="000A6875">
        <w:rPr>
          <w:szCs w:val="22"/>
        </w:rPr>
        <w:t xml:space="preserve">tonnage </w:t>
      </w:r>
      <w:r w:rsidR="00154796" w:rsidRPr="000A6875">
        <w:rPr>
          <w:szCs w:val="22"/>
        </w:rPr>
        <w:t xml:space="preserve"> </w:t>
      </w:r>
      <w:r w:rsidR="008458A3" w:rsidRPr="000A6875">
        <w:rPr>
          <w:szCs w:val="22"/>
        </w:rPr>
        <w:t>threshold for the regulations</w:t>
      </w:r>
      <w:r w:rsidR="00E75642" w:rsidRPr="000A6875">
        <w:rPr>
          <w:szCs w:val="22"/>
        </w:rPr>
        <w:t>; and</w:t>
      </w:r>
      <w:r w:rsidR="008458A3" w:rsidRPr="000A6875">
        <w:rPr>
          <w:szCs w:val="22"/>
        </w:rPr>
        <w:t xml:space="preserve"> </w:t>
      </w:r>
      <w:r w:rsidR="00C37084" w:rsidRPr="000A6875">
        <w:rPr>
          <w:szCs w:val="22"/>
        </w:rPr>
        <w:t xml:space="preserve"> </w:t>
      </w:r>
    </w:p>
    <w:p w14:paraId="4521B401" w14:textId="77777777" w:rsidR="003319D4" w:rsidRPr="000A6875" w:rsidRDefault="003319D4" w:rsidP="00C37084">
      <w:pPr>
        <w:keepNext/>
        <w:keepLines/>
        <w:tabs>
          <w:tab w:val="clear" w:pos="851"/>
        </w:tabs>
        <w:rPr>
          <w:szCs w:val="22"/>
        </w:rPr>
      </w:pPr>
    </w:p>
    <w:p w14:paraId="72B90999" w14:textId="7CD53E78" w:rsidR="00C37084" w:rsidRPr="000A6875" w:rsidRDefault="003319D4" w:rsidP="003319D4">
      <w:pPr>
        <w:keepNext/>
        <w:keepLines/>
        <w:tabs>
          <w:tab w:val="clear" w:pos="851"/>
        </w:tabs>
        <w:ind w:left="1702" w:hanging="854"/>
      </w:pPr>
      <w:r w:rsidRPr="000A6875">
        <w:rPr>
          <w:szCs w:val="22"/>
        </w:rPr>
        <w:t>.</w:t>
      </w:r>
      <w:r w:rsidR="00DA57A2" w:rsidRPr="000A6875">
        <w:rPr>
          <w:szCs w:val="22"/>
        </w:rPr>
        <w:t>6</w:t>
      </w:r>
      <w:r w:rsidRPr="000A6875">
        <w:rPr>
          <w:szCs w:val="22"/>
        </w:rPr>
        <w:tab/>
        <w:t xml:space="preserve">a </w:t>
      </w:r>
      <w:r w:rsidR="00C37084" w:rsidRPr="000A6875">
        <w:t xml:space="preserve">comprehensive regulatory package including possible draft amendments </w:t>
      </w:r>
      <w:r w:rsidR="009A5E75" w:rsidRPr="000A6875">
        <w:t>t</w:t>
      </w:r>
      <w:r w:rsidR="00C37084" w:rsidRPr="000A6875">
        <w:t xml:space="preserve">o </w:t>
      </w:r>
      <w:r w:rsidRPr="000A6875">
        <w:t>MARPOL</w:t>
      </w:r>
      <w:r w:rsidR="00C37084" w:rsidRPr="000A6875">
        <w:t xml:space="preserve"> Annex V</w:t>
      </w:r>
      <w:r w:rsidRPr="000A6875">
        <w:t>I</w:t>
      </w:r>
      <w:r w:rsidR="009A5E75" w:rsidRPr="000A6875">
        <w:t>, as set out in the annexe</w:t>
      </w:r>
      <w:r w:rsidR="004B37FE" w:rsidRPr="000A6875">
        <w:t>s</w:t>
      </w:r>
      <w:r w:rsidR="009A5E75" w:rsidRPr="000A6875">
        <w:t xml:space="preserve"> to this document.</w:t>
      </w:r>
    </w:p>
    <w:p w14:paraId="2B8B4C8A" w14:textId="27744FCC" w:rsidR="009A5E75" w:rsidRPr="000A6875" w:rsidRDefault="009A5E75" w:rsidP="009A5E75">
      <w:pPr>
        <w:keepNext/>
        <w:keepLines/>
        <w:tabs>
          <w:tab w:val="clear" w:pos="851"/>
        </w:tabs>
      </w:pPr>
    </w:p>
    <w:p w14:paraId="4C6759C9" w14:textId="613BC27B" w:rsidR="005A4F1D" w:rsidRPr="000A6875" w:rsidRDefault="00FB3F09" w:rsidP="00413A33">
      <w:pPr>
        <w:tabs>
          <w:tab w:val="clear" w:pos="851"/>
        </w:tabs>
      </w:pPr>
      <w:r w:rsidRPr="000A6875">
        <w:t>5</w:t>
      </w:r>
      <w:r w:rsidR="000E0902" w:rsidRPr="000A6875">
        <w:tab/>
        <w:t xml:space="preserve">This document concludes </w:t>
      </w:r>
      <w:r w:rsidR="00413A33" w:rsidRPr="000A6875">
        <w:t>that this comprehensive proposal for a Fund and Reward (Feebate) mechanism with flat rate contributions per tonne of CO</w:t>
      </w:r>
      <w:r w:rsidR="00413A33" w:rsidRPr="000A6875">
        <w:rPr>
          <w:vertAlign w:val="subscript"/>
        </w:rPr>
        <w:t>2</w:t>
      </w:r>
      <w:r w:rsidR="00413A33" w:rsidRPr="000A6875">
        <w:t xml:space="preserve">e emissions being made by </w:t>
      </w:r>
      <w:r w:rsidR="00E75642" w:rsidRPr="000A6875">
        <w:t xml:space="preserve">the </w:t>
      </w:r>
      <w:r w:rsidR="00413A33" w:rsidRPr="000A6875">
        <w:t xml:space="preserve">ship to a Zero Emission Shipping Fund (ZESF), complete with the necessary regulatory architecture, needs to be taken forward as soon as possible if </w:t>
      </w:r>
      <w:r w:rsidR="00A52DC4" w:rsidRPr="000A6875">
        <w:t xml:space="preserve">the </w:t>
      </w:r>
      <w:r w:rsidR="00570396" w:rsidRPr="000A6875">
        <w:t xml:space="preserve">goals </w:t>
      </w:r>
      <w:r w:rsidR="00413A33" w:rsidRPr="000A6875">
        <w:t xml:space="preserve">contained in the 2023 IMO GHG Strategy </w:t>
      </w:r>
      <w:r w:rsidR="00A52DC4" w:rsidRPr="000A6875">
        <w:t xml:space="preserve">adopted last July at MEPC 80 </w:t>
      </w:r>
      <w:r w:rsidR="00413A33" w:rsidRPr="000A6875">
        <w:t>are to remain achievable and plausible</w:t>
      </w:r>
      <w:r w:rsidR="00F60695" w:rsidRPr="000A6875">
        <w:t>.</w:t>
      </w:r>
      <w:r w:rsidR="004329B3" w:rsidRPr="000A6875">
        <w:t xml:space="preserve"> </w:t>
      </w:r>
    </w:p>
    <w:p w14:paraId="16410750" w14:textId="77777777" w:rsidR="005A4F1D" w:rsidRPr="000A6875" w:rsidRDefault="005A4F1D" w:rsidP="00413A33">
      <w:pPr>
        <w:tabs>
          <w:tab w:val="clear" w:pos="851"/>
        </w:tabs>
      </w:pPr>
    </w:p>
    <w:p w14:paraId="197B2C48" w14:textId="457F0CB9" w:rsidR="0026028D" w:rsidRPr="000A6875" w:rsidRDefault="005A4F1D" w:rsidP="00413A33">
      <w:pPr>
        <w:tabs>
          <w:tab w:val="clear" w:pos="851"/>
        </w:tabs>
      </w:pPr>
      <w:r w:rsidRPr="000A6875">
        <w:t>6</w:t>
      </w:r>
      <w:r w:rsidRPr="000A6875">
        <w:tab/>
      </w:r>
      <w:r w:rsidR="004329B3" w:rsidRPr="000A6875">
        <w:t>I</w:t>
      </w:r>
      <w:r w:rsidR="009A2181" w:rsidRPr="000A6875">
        <w:t xml:space="preserve">n view of the </w:t>
      </w:r>
      <w:r w:rsidR="00AE066B" w:rsidRPr="000A6875">
        <w:t>pressing</w:t>
      </w:r>
      <w:r w:rsidRPr="000A6875">
        <w:t xml:space="preserve"> </w:t>
      </w:r>
      <w:r w:rsidR="009A2181" w:rsidRPr="000A6875">
        <w:t>urgency</w:t>
      </w:r>
      <w:r w:rsidR="00FE7B2D" w:rsidRPr="000A6875">
        <w:t xml:space="preserve">, </w:t>
      </w:r>
      <w:r w:rsidR="000A7A06" w:rsidRPr="000A6875">
        <w:t>given that the measure need</w:t>
      </w:r>
      <w:r w:rsidR="000B7C1E" w:rsidRPr="000A6875">
        <w:t>s</w:t>
      </w:r>
      <w:r w:rsidR="000A7A06" w:rsidRPr="000A6875">
        <w:t xml:space="preserve"> to be approved at MEPC 83</w:t>
      </w:r>
      <w:r w:rsidR="00AE066B" w:rsidRPr="000A6875">
        <w:t xml:space="preserve"> next year</w:t>
      </w:r>
      <w:r w:rsidR="000B7C1E" w:rsidRPr="000A6875">
        <w:t xml:space="preserve">, the document </w:t>
      </w:r>
      <w:r w:rsidR="009A2181" w:rsidRPr="000A6875">
        <w:t xml:space="preserve">invites the Group to </w:t>
      </w:r>
      <w:r w:rsidR="000B7C1E" w:rsidRPr="000A6875">
        <w:t xml:space="preserve">recommend to MEPC 81 that the Group should be instructed by the Committee to develop draft amendments to MARPOL Annex VI to implement a Fund and Reward (Feebate) mechanism for submission to </w:t>
      </w:r>
      <w:r w:rsidR="00A52DC4" w:rsidRPr="000A6875">
        <w:br/>
      </w:r>
      <w:r w:rsidR="000B7C1E" w:rsidRPr="000A6875">
        <w:t>MEPC 82, using the possible draft text</w:t>
      </w:r>
      <w:r w:rsidR="00A52DC4" w:rsidRPr="000A6875">
        <w:t>s</w:t>
      </w:r>
      <w:r w:rsidR="000B7C1E" w:rsidRPr="000A6875">
        <w:t xml:space="preserve"> set out in the annexes to this document</w:t>
      </w:r>
      <w:r w:rsidR="00AB62F9" w:rsidRPr="000A6875">
        <w:t>.</w:t>
      </w:r>
      <w:r w:rsidR="000B7C1E" w:rsidRPr="000A6875">
        <w:t xml:space="preserve">  </w:t>
      </w:r>
    </w:p>
    <w:p w14:paraId="0EE54A0C" w14:textId="77777777" w:rsidR="0026028D" w:rsidRPr="000A6875" w:rsidRDefault="0026028D" w:rsidP="00413A33">
      <w:pPr>
        <w:tabs>
          <w:tab w:val="clear" w:pos="851"/>
        </w:tabs>
      </w:pPr>
    </w:p>
    <w:p w14:paraId="138BB7B5" w14:textId="1CD29919" w:rsidR="0026028D" w:rsidRPr="000A6875" w:rsidRDefault="0026028D" w:rsidP="00DE29DC">
      <w:pPr>
        <w:rPr>
          <w:rFonts w:ascii="Aptos" w:hAnsi="Aptos"/>
        </w:rPr>
      </w:pPr>
      <w:r w:rsidRPr="000A6875">
        <w:t>7</w:t>
      </w:r>
      <w:r w:rsidRPr="000A6875">
        <w:tab/>
        <w:t xml:space="preserve"> </w:t>
      </w:r>
      <w:r w:rsidR="00842356">
        <w:t xml:space="preserve">The co-sponsors </w:t>
      </w:r>
      <w:r w:rsidR="000E58CE">
        <w:t xml:space="preserve">have </w:t>
      </w:r>
      <w:r w:rsidRPr="000A6875">
        <w:t>submitted this document to help move the discussion forward. The issues are complex and the views expressed on many of the details of this proposal, including the regulatory text set out in the annexes to this document, will inevitably evolve as discussion within the Group and the Committee continues.</w:t>
      </w:r>
    </w:p>
    <w:p w14:paraId="2ED0957A" w14:textId="742D115E" w:rsidR="003F5FE9" w:rsidRPr="00191D29" w:rsidRDefault="003F5FE9" w:rsidP="00097E9F">
      <w:pPr>
        <w:tabs>
          <w:tab w:val="clear" w:pos="851"/>
        </w:tabs>
        <w:rPr>
          <w:b/>
          <w:bCs/>
          <w:i/>
          <w:iCs/>
        </w:rPr>
      </w:pPr>
    </w:p>
    <w:p w14:paraId="7FDDE5EF" w14:textId="76C32812" w:rsidR="003F5FE9" w:rsidRPr="00191D29" w:rsidRDefault="000D1CF5" w:rsidP="00B97942">
      <w:pPr>
        <w:tabs>
          <w:tab w:val="clear" w:pos="851"/>
        </w:tabs>
        <w:rPr>
          <w:b/>
          <w:bCs/>
        </w:rPr>
      </w:pPr>
      <w:r w:rsidRPr="00191D29">
        <w:rPr>
          <w:b/>
          <w:bCs/>
        </w:rPr>
        <w:t xml:space="preserve">IMPLICATIONS OF THE 2023 IMO GHG STRATEGY </w:t>
      </w:r>
    </w:p>
    <w:p w14:paraId="5AA439C1" w14:textId="69488A3C" w:rsidR="001A0E68" w:rsidRPr="00191D29" w:rsidRDefault="001A0E68" w:rsidP="00A630FA">
      <w:pPr>
        <w:tabs>
          <w:tab w:val="clear" w:pos="851"/>
        </w:tabs>
        <w:jc w:val="left"/>
        <w:rPr>
          <w:b/>
          <w:bCs/>
        </w:rPr>
      </w:pPr>
    </w:p>
    <w:p w14:paraId="45212F04" w14:textId="1BC3FE4E" w:rsidR="00544F91" w:rsidRPr="00191D29" w:rsidRDefault="00CF5513" w:rsidP="006B337E">
      <w:pPr>
        <w:tabs>
          <w:tab w:val="clear" w:pos="851"/>
        </w:tabs>
      </w:pPr>
      <w:r w:rsidRPr="00191D29">
        <w:t>8</w:t>
      </w:r>
      <w:r w:rsidR="00075B56" w:rsidRPr="00191D29">
        <w:tab/>
      </w:r>
      <w:r w:rsidR="006B337E" w:rsidRPr="00191D29">
        <w:t xml:space="preserve">The 2023 </w:t>
      </w:r>
      <w:r w:rsidR="00FD573F" w:rsidRPr="00191D29">
        <w:t xml:space="preserve">IMO </w:t>
      </w:r>
      <w:r w:rsidR="006B337E" w:rsidRPr="00191D29">
        <w:t>GHG Strategy identifies the development and finali</w:t>
      </w:r>
      <w:r w:rsidR="00500186">
        <w:t>s</w:t>
      </w:r>
      <w:r w:rsidR="006B337E" w:rsidRPr="00191D29">
        <w:t xml:space="preserve">ation of a basket of mid-term measure(s) including an economic element, namely a </w:t>
      </w:r>
      <w:r w:rsidR="00717CC3" w:rsidRPr="00191D29">
        <w:t xml:space="preserve">maritime </w:t>
      </w:r>
      <w:r w:rsidR="006B337E" w:rsidRPr="00191D29">
        <w:t xml:space="preserve">GHG </w:t>
      </w:r>
      <w:r w:rsidR="00717CC3" w:rsidRPr="00191D29">
        <w:t xml:space="preserve">emissions </w:t>
      </w:r>
      <w:r w:rsidR="006B337E" w:rsidRPr="00191D29">
        <w:t>pricing mechanism</w:t>
      </w:r>
      <w:r w:rsidR="003A40D6" w:rsidRPr="00191D29">
        <w:t>, for adoption b</w:t>
      </w:r>
      <w:r w:rsidR="0038782B" w:rsidRPr="00191D29">
        <w:t>y 2025 and entry into force by 2027.</w:t>
      </w:r>
      <w:r w:rsidR="00075B56" w:rsidRPr="00191D29">
        <w:t xml:space="preserve">  </w:t>
      </w:r>
      <w:r w:rsidR="002B1057" w:rsidRPr="00191D29">
        <w:t xml:space="preserve">As well as setting out a net zero </w:t>
      </w:r>
      <w:r w:rsidR="00A25A12" w:rsidRPr="00191D29">
        <w:t xml:space="preserve">goal </w:t>
      </w:r>
      <w:r w:rsidR="002B1057" w:rsidRPr="00191D29">
        <w:t>by</w:t>
      </w:r>
      <w:r w:rsidR="001D0B18" w:rsidRPr="00191D29">
        <w:t xml:space="preserve">, </w:t>
      </w:r>
      <w:r w:rsidR="002B1057" w:rsidRPr="00191D29">
        <w:t>or close to</w:t>
      </w:r>
      <w:r w:rsidR="001D0B18" w:rsidRPr="00191D29">
        <w:t>,</w:t>
      </w:r>
      <w:r w:rsidR="002B1057" w:rsidRPr="00191D29">
        <w:t xml:space="preserve"> 2050, and ambitious indicative </w:t>
      </w:r>
      <w:r w:rsidR="00BB4839" w:rsidRPr="00191D29">
        <w:t>checkpoint</w:t>
      </w:r>
      <w:r w:rsidR="00BF2AD0" w:rsidRPr="00191D29">
        <w:t xml:space="preserve">s </w:t>
      </w:r>
      <w:r w:rsidR="002B1057" w:rsidRPr="00191D29">
        <w:t xml:space="preserve">for the reduction of </w:t>
      </w:r>
      <w:r w:rsidR="004414CD" w:rsidRPr="00191D29">
        <w:t xml:space="preserve">international shipping’s </w:t>
      </w:r>
      <w:r w:rsidR="002B1057" w:rsidRPr="00191D29">
        <w:t>absolute GHG emissions by 2030 and 2040, the</w:t>
      </w:r>
      <w:r w:rsidR="00A374B9" w:rsidRPr="00191D29">
        <w:t xml:space="preserve"> </w:t>
      </w:r>
      <w:r w:rsidR="00717CC3" w:rsidRPr="00191D29">
        <w:t xml:space="preserve">2023 </w:t>
      </w:r>
      <w:r w:rsidR="00587748" w:rsidRPr="00191D29">
        <w:t xml:space="preserve">IMO GHG </w:t>
      </w:r>
      <w:r w:rsidR="002B1057" w:rsidRPr="00191D29">
        <w:t xml:space="preserve">Strategy sets out </w:t>
      </w:r>
      <w:r w:rsidR="006C713E" w:rsidRPr="00191D29">
        <w:t>a</w:t>
      </w:r>
      <w:r w:rsidR="00CD5F37" w:rsidRPr="00191D29">
        <w:t>n important</w:t>
      </w:r>
      <w:r w:rsidR="006C713E" w:rsidRPr="00191D29">
        <w:t xml:space="preserve"> </w:t>
      </w:r>
      <w:r w:rsidR="002B1057" w:rsidRPr="00191D29">
        <w:t xml:space="preserve">new level of ambition “to increase uptake of zero or near-zero </w:t>
      </w:r>
      <w:r w:rsidR="002B1057" w:rsidRPr="00191D29">
        <w:lastRenderedPageBreak/>
        <w:t xml:space="preserve">GHG emission technologies, fuels and/or energy sources to represent at least 5%, striving for 10%, of the energy used by international shipping by 2030”.  </w:t>
      </w:r>
    </w:p>
    <w:p w14:paraId="481542AA" w14:textId="77777777" w:rsidR="00544F91" w:rsidRPr="00191D29" w:rsidRDefault="00544F91" w:rsidP="006B337E">
      <w:pPr>
        <w:tabs>
          <w:tab w:val="clear" w:pos="851"/>
        </w:tabs>
      </w:pPr>
    </w:p>
    <w:p w14:paraId="5A62587D" w14:textId="5C8E484F" w:rsidR="00E77A38" w:rsidRPr="00191D29" w:rsidRDefault="00CF5513" w:rsidP="006B337E">
      <w:pPr>
        <w:tabs>
          <w:tab w:val="clear" w:pos="851"/>
        </w:tabs>
      </w:pPr>
      <w:r w:rsidRPr="00191D29">
        <w:t>9</w:t>
      </w:r>
      <w:r w:rsidR="00735FC8" w:rsidRPr="00191D29">
        <w:tab/>
      </w:r>
      <w:r w:rsidR="00CC45DF">
        <w:t>The co-spo</w:t>
      </w:r>
      <w:r w:rsidR="002151F4">
        <w:t xml:space="preserve">nsors </w:t>
      </w:r>
      <w:r w:rsidR="00735FC8" w:rsidRPr="00191D29">
        <w:t xml:space="preserve">fully support these new </w:t>
      </w:r>
      <w:r w:rsidR="004E162E" w:rsidRPr="00191D29">
        <w:t xml:space="preserve">GHG reduction </w:t>
      </w:r>
      <w:r w:rsidR="00377BBF" w:rsidRPr="00191D29">
        <w:t xml:space="preserve">goals </w:t>
      </w:r>
      <w:r w:rsidR="004557D2" w:rsidRPr="00191D29">
        <w:t>and</w:t>
      </w:r>
      <w:r w:rsidR="00A95C6A" w:rsidRPr="00191D29">
        <w:t>,</w:t>
      </w:r>
      <w:r w:rsidR="004557D2" w:rsidRPr="00191D29">
        <w:t xml:space="preserve"> provided </w:t>
      </w:r>
      <w:r w:rsidR="00C35335" w:rsidRPr="00191D29">
        <w:t xml:space="preserve">that </w:t>
      </w:r>
      <w:r w:rsidR="00C36A4C" w:rsidRPr="00191D29">
        <w:t xml:space="preserve">the Committee </w:t>
      </w:r>
      <w:r w:rsidR="000C0E1B" w:rsidRPr="00191D29">
        <w:t xml:space="preserve">demonstrates </w:t>
      </w:r>
      <w:r w:rsidR="00D117DD" w:rsidRPr="00191D29">
        <w:t xml:space="preserve">the </w:t>
      </w:r>
      <w:r w:rsidR="00B94067" w:rsidRPr="00191D29">
        <w:t xml:space="preserve">political </w:t>
      </w:r>
      <w:r w:rsidR="00E42854" w:rsidRPr="00191D29">
        <w:t xml:space="preserve">will </w:t>
      </w:r>
      <w:r w:rsidR="00F36D98" w:rsidRPr="00191D29">
        <w:t xml:space="preserve">necessary </w:t>
      </w:r>
      <w:r w:rsidR="00D117DD" w:rsidRPr="00191D29">
        <w:t xml:space="preserve">to </w:t>
      </w:r>
      <w:r w:rsidR="000E1C13" w:rsidRPr="00191D29">
        <w:t xml:space="preserve">develop and </w:t>
      </w:r>
      <w:r w:rsidR="004557D2" w:rsidRPr="00191D29">
        <w:t xml:space="preserve">adopt the </w:t>
      </w:r>
      <w:r w:rsidR="00D167E3" w:rsidRPr="00191D29">
        <w:t xml:space="preserve">radical </w:t>
      </w:r>
      <w:r w:rsidR="009B5412" w:rsidRPr="00191D29">
        <w:t xml:space="preserve">measures </w:t>
      </w:r>
      <w:r w:rsidR="00BA4DEE" w:rsidRPr="00191D29">
        <w:t xml:space="preserve">required </w:t>
      </w:r>
      <w:r w:rsidR="004A4ADB" w:rsidRPr="00191D29">
        <w:t>by</w:t>
      </w:r>
      <w:r w:rsidR="00E41318" w:rsidRPr="00191D29">
        <w:t xml:space="preserve"> 2025</w:t>
      </w:r>
      <w:r w:rsidR="00A95C6A" w:rsidRPr="00191D29">
        <w:t>,</w:t>
      </w:r>
      <w:r w:rsidR="00E41318" w:rsidRPr="00191D29">
        <w:t xml:space="preserve"> </w:t>
      </w:r>
      <w:r w:rsidR="000E1C13" w:rsidRPr="00191D29">
        <w:t xml:space="preserve">as </w:t>
      </w:r>
      <w:r w:rsidR="00717CC3" w:rsidRPr="00191D29">
        <w:t>agreed</w:t>
      </w:r>
      <w:r w:rsidR="000E1C13" w:rsidRPr="00191D29">
        <w:t xml:space="preserve"> by </w:t>
      </w:r>
      <w:r w:rsidR="00717CC3" w:rsidRPr="00191D29">
        <w:t xml:space="preserve">governments </w:t>
      </w:r>
      <w:r w:rsidR="004F1B66" w:rsidRPr="00191D29">
        <w:t xml:space="preserve">unanimously </w:t>
      </w:r>
      <w:r w:rsidR="00717CC3" w:rsidRPr="00191D29">
        <w:t xml:space="preserve">with adoption of </w:t>
      </w:r>
      <w:r w:rsidR="000E1C13" w:rsidRPr="00191D29">
        <w:t xml:space="preserve">the </w:t>
      </w:r>
      <w:r w:rsidR="003856FA" w:rsidRPr="00191D29">
        <w:t xml:space="preserve">2023 IMO GHG Strategy, </w:t>
      </w:r>
      <w:r w:rsidR="00C35335" w:rsidRPr="00191D29">
        <w:t xml:space="preserve">these </w:t>
      </w:r>
      <w:r w:rsidR="00BA4DEE" w:rsidRPr="00191D29">
        <w:t xml:space="preserve">IMO </w:t>
      </w:r>
      <w:r w:rsidR="005502AC" w:rsidRPr="00191D29">
        <w:t>objectives</w:t>
      </w:r>
      <w:r w:rsidR="00C35335" w:rsidRPr="00191D29">
        <w:t xml:space="preserve"> </w:t>
      </w:r>
      <w:r w:rsidR="00A374B9" w:rsidRPr="00191D29">
        <w:t>should be</w:t>
      </w:r>
      <w:r w:rsidR="00C35335" w:rsidRPr="00191D29">
        <w:t xml:space="preserve"> achievable</w:t>
      </w:r>
      <w:r w:rsidR="005502AC" w:rsidRPr="00191D29">
        <w:t>. B</w:t>
      </w:r>
      <w:r w:rsidR="00CC0A6F" w:rsidRPr="00191D29">
        <w:t xml:space="preserve">ut </w:t>
      </w:r>
      <w:r w:rsidR="008057B5" w:rsidRPr="00191D29">
        <w:t xml:space="preserve">the </w:t>
      </w:r>
      <w:r w:rsidR="00E479D8" w:rsidRPr="00191D29">
        <w:t xml:space="preserve">massive </w:t>
      </w:r>
      <w:r w:rsidR="0003412C" w:rsidRPr="00191D29">
        <w:t>enormity</w:t>
      </w:r>
      <w:r w:rsidR="003D28F0" w:rsidRPr="00191D29">
        <w:t xml:space="preserve"> of th</w:t>
      </w:r>
      <w:r w:rsidR="00E479D8" w:rsidRPr="00191D29">
        <w:t>is</w:t>
      </w:r>
      <w:r w:rsidR="003D28F0" w:rsidRPr="00191D29">
        <w:t xml:space="preserve"> challenge </w:t>
      </w:r>
      <w:r w:rsidR="00100C4B" w:rsidRPr="00191D29">
        <w:t>cannot be overestimated</w:t>
      </w:r>
      <w:r w:rsidR="005F087D" w:rsidRPr="00191D29">
        <w:t xml:space="preserve">. The </w:t>
      </w:r>
      <w:r w:rsidR="00377BBF" w:rsidRPr="00191D29">
        <w:t xml:space="preserve">goals </w:t>
      </w:r>
      <w:r w:rsidR="005F087D" w:rsidRPr="00191D29">
        <w:t xml:space="preserve">agreed by MEPC 80 </w:t>
      </w:r>
      <w:r w:rsidR="0031795E" w:rsidRPr="00191D29">
        <w:t xml:space="preserve">are </w:t>
      </w:r>
      <w:r w:rsidR="008057B5" w:rsidRPr="00191D29">
        <w:t>extremely ambitious</w:t>
      </w:r>
      <w:r w:rsidR="005502AC" w:rsidRPr="00191D29">
        <w:t xml:space="preserve"> </w:t>
      </w:r>
      <w:r w:rsidR="009327EA" w:rsidRPr="00191D29">
        <w:t>as</w:t>
      </w:r>
      <w:r w:rsidR="000E38F5" w:rsidRPr="00191D29">
        <w:t>,</w:t>
      </w:r>
      <w:r w:rsidR="001377B8" w:rsidRPr="00191D29">
        <w:t xml:space="preserve"> apart from </w:t>
      </w:r>
      <w:r w:rsidR="006F415F" w:rsidRPr="00191D29">
        <w:t xml:space="preserve">limited supplies </w:t>
      </w:r>
      <w:r w:rsidR="006F415F" w:rsidRPr="000A6875">
        <w:t xml:space="preserve">of </w:t>
      </w:r>
      <w:r w:rsidR="00F2206C" w:rsidRPr="000A6875">
        <w:t xml:space="preserve">the </w:t>
      </w:r>
      <w:r w:rsidR="00301AAC" w:rsidRPr="000A6875">
        <w:t xml:space="preserve">sustainable </w:t>
      </w:r>
      <w:r w:rsidR="002D28EF" w:rsidRPr="000A6875">
        <w:t>biofuel</w:t>
      </w:r>
      <w:r w:rsidR="005502AC" w:rsidRPr="000A6875">
        <w:t xml:space="preserve"> </w:t>
      </w:r>
      <w:r w:rsidR="00377BBF" w:rsidRPr="000A6875">
        <w:t xml:space="preserve">component of </w:t>
      </w:r>
      <w:r w:rsidR="00F21DC6" w:rsidRPr="000A6875">
        <w:t xml:space="preserve">some biofuel </w:t>
      </w:r>
      <w:r w:rsidR="005502AC" w:rsidRPr="000A6875">
        <w:t>blends</w:t>
      </w:r>
      <w:r w:rsidR="000E38F5" w:rsidRPr="00191D29">
        <w:t>,</w:t>
      </w:r>
      <w:r w:rsidR="00302B34" w:rsidRPr="00191D29">
        <w:t xml:space="preserve"> </w:t>
      </w:r>
      <w:r w:rsidR="009327EA" w:rsidRPr="00191D29">
        <w:t xml:space="preserve">the </w:t>
      </w:r>
      <w:r w:rsidR="006B379A" w:rsidRPr="00191D29">
        <w:t xml:space="preserve">current availability </w:t>
      </w:r>
      <w:r w:rsidR="00CE26E3" w:rsidRPr="00191D29">
        <w:t xml:space="preserve">of </w:t>
      </w:r>
      <w:r w:rsidR="00AD1FEC" w:rsidRPr="00191D29">
        <w:t>zero/near</w:t>
      </w:r>
      <w:r w:rsidR="00301AAC" w:rsidRPr="00191D29">
        <w:t>-</w:t>
      </w:r>
      <w:r w:rsidR="00AD1FEC" w:rsidRPr="00191D29">
        <w:t xml:space="preserve">zero GHG </w:t>
      </w:r>
      <w:r w:rsidR="00A05FF0" w:rsidRPr="00191D29">
        <w:t xml:space="preserve">marine </w:t>
      </w:r>
      <w:r w:rsidR="00AD1FEC" w:rsidRPr="00191D29">
        <w:t xml:space="preserve">fuels is virtually </w:t>
      </w:r>
      <w:r w:rsidR="006B379A" w:rsidRPr="00191D29">
        <w:t>zero.</w:t>
      </w:r>
      <w:r w:rsidR="00D01565" w:rsidRPr="00191D29">
        <w:t xml:space="preserve"> </w:t>
      </w:r>
    </w:p>
    <w:p w14:paraId="5F94C527" w14:textId="77777777" w:rsidR="00E77A38" w:rsidRPr="00191D29" w:rsidRDefault="00E77A38" w:rsidP="006B337E">
      <w:pPr>
        <w:tabs>
          <w:tab w:val="clear" w:pos="851"/>
        </w:tabs>
      </w:pPr>
    </w:p>
    <w:p w14:paraId="20CBC263" w14:textId="6D14E8D5" w:rsidR="002B0C5E" w:rsidRPr="000A6875" w:rsidRDefault="00CF5513" w:rsidP="006B337E">
      <w:pPr>
        <w:tabs>
          <w:tab w:val="clear" w:pos="851"/>
        </w:tabs>
      </w:pPr>
      <w:r w:rsidRPr="00191D29">
        <w:t>10</w:t>
      </w:r>
      <w:r w:rsidR="00E77A38" w:rsidRPr="00191D29">
        <w:tab/>
      </w:r>
      <w:r w:rsidR="00D01565" w:rsidRPr="00191D29">
        <w:t xml:space="preserve">The 2040 checkpoint of </w:t>
      </w:r>
      <w:r w:rsidR="00BD7314" w:rsidRPr="00191D29">
        <w:t xml:space="preserve">an </w:t>
      </w:r>
      <w:r w:rsidR="006667CE" w:rsidRPr="00191D29">
        <w:t xml:space="preserve">absolute reduction in the sector’s total </w:t>
      </w:r>
      <w:r w:rsidR="00D37BE8" w:rsidRPr="00191D29">
        <w:t xml:space="preserve">GHG </w:t>
      </w:r>
      <w:r w:rsidR="006667CE" w:rsidRPr="00191D29">
        <w:t>emissions</w:t>
      </w:r>
      <w:r w:rsidR="007F2F8D" w:rsidRPr="00191D29">
        <w:t xml:space="preserve"> of </w:t>
      </w:r>
      <w:r w:rsidR="00BA331D" w:rsidRPr="00191D29">
        <w:t xml:space="preserve">at least </w:t>
      </w:r>
      <w:r w:rsidR="007F2F8D" w:rsidRPr="00191D29">
        <w:t>70</w:t>
      </w:r>
      <w:r w:rsidR="00B962E4" w:rsidRPr="00191D29">
        <w:t>%</w:t>
      </w:r>
      <w:r w:rsidR="009944BD" w:rsidRPr="00191D29">
        <w:t>,</w:t>
      </w:r>
      <w:r w:rsidR="00717CC3" w:rsidRPr="00191D29">
        <w:t xml:space="preserve"> </w:t>
      </w:r>
      <w:r w:rsidR="00BA331D" w:rsidRPr="00191D29">
        <w:t xml:space="preserve">striving for </w:t>
      </w:r>
      <w:r w:rsidR="007F2F8D" w:rsidRPr="00191D29">
        <w:t>80</w:t>
      </w:r>
      <w:r w:rsidR="001D3E59" w:rsidRPr="00191D29">
        <w:t>%</w:t>
      </w:r>
      <w:r w:rsidR="009944BD" w:rsidRPr="00191D29">
        <w:t>,</w:t>
      </w:r>
      <w:r w:rsidR="001D3E59" w:rsidRPr="00191D29">
        <w:t xml:space="preserve"> </w:t>
      </w:r>
      <w:r w:rsidR="00B76E35" w:rsidRPr="00191D29">
        <w:t>compared to 2008, r</w:t>
      </w:r>
      <w:r w:rsidR="006667CE" w:rsidRPr="00191D29">
        <w:t xml:space="preserve">egardless </w:t>
      </w:r>
      <w:r w:rsidR="007F2F8D" w:rsidRPr="00191D29">
        <w:t>of trade growth</w:t>
      </w:r>
      <w:r w:rsidR="00B76E35" w:rsidRPr="00191D29">
        <w:t>,</w:t>
      </w:r>
      <w:r w:rsidR="00CD4681">
        <w:t xml:space="preserve"> </w:t>
      </w:r>
      <w:r w:rsidR="00D96547" w:rsidRPr="00191D29">
        <w:t xml:space="preserve">is </w:t>
      </w:r>
      <w:r w:rsidR="00061EF4" w:rsidRPr="00191D29">
        <w:t>very</w:t>
      </w:r>
      <w:r w:rsidR="00B729BA" w:rsidRPr="00191D29">
        <w:t xml:space="preserve"> challenging </w:t>
      </w:r>
      <w:r w:rsidR="000E38F5" w:rsidRPr="00191D29">
        <w:t xml:space="preserve">indeed </w:t>
      </w:r>
      <w:r w:rsidR="00683434" w:rsidRPr="00191D29">
        <w:t xml:space="preserve">and </w:t>
      </w:r>
      <w:r w:rsidR="00F752E5" w:rsidRPr="00191D29">
        <w:t>is</w:t>
      </w:r>
      <w:r w:rsidR="00D37BE8" w:rsidRPr="00191D29">
        <w:t xml:space="preserve"> only </w:t>
      </w:r>
      <w:r w:rsidR="00F752E5" w:rsidRPr="00191D29">
        <w:t xml:space="preserve">likely to </w:t>
      </w:r>
      <w:r w:rsidR="00D37BE8" w:rsidRPr="00191D29">
        <w:t xml:space="preserve">be </w:t>
      </w:r>
      <w:r w:rsidR="00A00591" w:rsidRPr="00191D29">
        <w:t>delivered</w:t>
      </w:r>
      <w:r w:rsidR="00492634" w:rsidRPr="00191D29">
        <w:t xml:space="preserve"> if a </w:t>
      </w:r>
      <w:r w:rsidR="00B11A48" w:rsidRPr="00191D29">
        <w:t>“</w:t>
      </w:r>
      <w:r w:rsidR="00492634" w:rsidRPr="00191D29">
        <w:t>take</w:t>
      </w:r>
      <w:r w:rsidR="002F54A7" w:rsidRPr="00191D29">
        <w:t>-</w:t>
      </w:r>
      <w:r w:rsidR="00492634" w:rsidRPr="00191D29">
        <w:t>off</w:t>
      </w:r>
      <w:r w:rsidR="00B11A48" w:rsidRPr="00191D29">
        <w:t>”</w:t>
      </w:r>
      <w:r w:rsidR="00492634" w:rsidRPr="00191D29">
        <w:t xml:space="preserve"> point for the use of zero/near-zero GHG fuels</w:t>
      </w:r>
      <w:r w:rsidR="00225343" w:rsidRPr="00191D29">
        <w:t>, such as</w:t>
      </w:r>
      <w:r w:rsidR="002A3D03">
        <w:t xml:space="preserve"> </w:t>
      </w:r>
      <w:r w:rsidR="00225343" w:rsidRPr="00191D29">
        <w:t>ammonia and hydrogen</w:t>
      </w:r>
      <w:r w:rsidR="00FD5A43" w:rsidRPr="00191D29">
        <w:t>,</w:t>
      </w:r>
      <w:r w:rsidR="000047D5">
        <w:t xml:space="preserve"> synthetic</w:t>
      </w:r>
      <w:r w:rsidR="00A100B9">
        <w:t xml:space="preserve"> methanol</w:t>
      </w:r>
      <w:r w:rsidR="00235DEC">
        <w:t xml:space="preserve"> and </w:t>
      </w:r>
      <w:r w:rsidR="001572E7">
        <w:t xml:space="preserve">synthetic </w:t>
      </w:r>
      <w:r w:rsidR="00235DEC">
        <w:t>LNG,</w:t>
      </w:r>
      <w:r w:rsidR="00A100B9">
        <w:t xml:space="preserve"> </w:t>
      </w:r>
      <w:r w:rsidR="00FD5A43" w:rsidRPr="00191D29">
        <w:t xml:space="preserve">as </w:t>
      </w:r>
      <w:r w:rsidR="005A2FEF" w:rsidRPr="00191D29">
        <w:t xml:space="preserve">well as </w:t>
      </w:r>
      <w:r w:rsidR="00FD5A43" w:rsidRPr="00191D29">
        <w:t>GHG reduction technologies such as carbon capture,</w:t>
      </w:r>
      <w:r w:rsidR="00492634" w:rsidRPr="00191D29">
        <w:t xml:space="preserve"> </w:t>
      </w:r>
      <w:r w:rsidR="00632AF1" w:rsidRPr="00191D29">
        <w:t xml:space="preserve">can be </w:t>
      </w:r>
      <w:r w:rsidR="00A00591" w:rsidRPr="00191D29">
        <w:t>achieved</w:t>
      </w:r>
      <w:r w:rsidR="00632AF1" w:rsidRPr="00191D29">
        <w:t xml:space="preserve"> </w:t>
      </w:r>
      <w:r w:rsidR="00E04032" w:rsidRPr="00191D29">
        <w:t xml:space="preserve">by the end of this decade. </w:t>
      </w:r>
      <w:r w:rsidR="00DA233B" w:rsidRPr="000A6875">
        <w:t>(</w:t>
      </w:r>
      <w:r w:rsidR="002A5D90" w:rsidRPr="000A6875">
        <w:t xml:space="preserve">A </w:t>
      </w:r>
      <w:r w:rsidR="00FC007E" w:rsidRPr="000A6875">
        <w:t>“</w:t>
      </w:r>
      <w:r w:rsidR="002A5D90" w:rsidRPr="000A6875">
        <w:t>take-off</w:t>
      </w:r>
      <w:r w:rsidR="00CD4681">
        <w:t>”</w:t>
      </w:r>
      <w:r w:rsidR="002A5D90" w:rsidRPr="000A6875">
        <w:t xml:space="preserve"> point</w:t>
      </w:r>
      <w:r w:rsidR="00FC007E" w:rsidRPr="000A6875">
        <w:t xml:space="preserve"> means the point in time when the </w:t>
      </w:r>
      <w:r w:rsidR="002A41F0" w:rsidRPr="000A6875">
        <w:t xml:space="preserve">production and uptake of </w:t>
      </w:r>
      <w:r w:rsidR="008C2BD2" w:rsidRPr="000A6875">
        <w:t xml:space="preserve">zero/near-zero </w:t>
      </w:r>
      <w:r w:rsidR="00623BD5" w:rsidRPr="000A6875">
        <w:t xml:space="preserve">GHG </w:t>
      </w:r>
      <w:r w:rsidR="008C2BD2" w:rsidRPr="000A6875">
        <w:t xml:space="preserve">fuels </w:t>
      </w:r>
      <w:r w:rsidR="00610946">
        <w:t xml:space="preserve">and technologies </w:t>
      </w:r>
      <w:r w:rsidR="008C2BD2" w:rsidRPr="000A6875">
        <w:t xml:space="preserve">can be seen to </w:t>
      </w:r>
      <w:r w:rsidR="002A6553" w:rsidRPr="000A6875">
        <w:t xml:space="preserve">rapidly </w:t>
      </w:r>
      <w:r w:rsidR="00732313" w:rsidRPr="000A6875">
        <w:t>accelerate beyond use by a</w:t>
      </w:r>
      <w:r w:rsidR="00623BD5" w:rsidRPr="000A6875">
        <w:t xml:space="preserve"> small and </w:t>
      </w:r>
      <w:r w:rsidR="00732313" w:rsidRPr="000A6875">
        <w:t xml:space="preserve">very limited number of </w:t>
      </w:r>
      <w:r w:rsidR="00DA233B" w:rsidRPr="000A6875">
        <w:t>ships.)</w:t>
      </w:r>
      <w:r w:rsidR="008C2BD2" w:rsidRPr="000A6875">
        <w:t xml:space="preserve"> </w:t>
      </w:r>
      <w:r w:rsidR="002A5D90" w:rsidRPr="000A6875">
        <w:t xml:space="preserve"> </w:t>
      </w:r>
    </w:p>
    <w:p w14:paraId="1F55B312" w14:textId="77777777" w:rsidR="002B0C5E" w:rsidRPr="000A6875" w:rsidRDefault="002B0C5E" w:rsidP="006B337E">
      <w:pPr>
        <w:tabs>
          <w:tab w:val="clear" w:pos="851"/>
        </w:tabs>
      </w:pPr>
    </w:p>
    <w:p w14:paraId="43589F1D" w14:textId="51A95BF6" w:rsidR="00BE445F" w:rsidRPr="00191D29" w:rsidRDefault="002B0C5E" w:rsidP="006B337E">
      <w:pPr>
        <w:tabs>
          <w:tab w:val="clear" w:pos="851"/>
        </w:tabs>
      </w:pPr>
      <w:r w:rsidRPr="00191D29">
        <w:t>11</w:t>
      </w:r>
      <w:r w:rsidRPr="00191D29">
        <w:tab/>
      </w:r>
      <w:r w:rsidR="0031795E" w:rsidRPr="00191D29">
        <w:t>T</w:t>
      </w:r>
      <w:r w:rsidR="00237593" w:rsidRPr="00191D29">
        <w:t xml:space="preserve">he </w:t>
      </w:r>
      <w:r w:rsidR="008840AC" w:rsidRPr="00191D29">
        <w:t xml:space="preserve">2030 </w:t>
      </w:r>
      <w:r w:rsidR="00197FCF" w:rsidRPr="00191D29">
        <w:t xml:space="preserve">level of ambition for </w:t>
      </w:r>
      <w:r w:rsidR="00892AB7" w:rsidRPr="00191D29">
        <w:t>5</w:t>
      </w:r>
      <w:r w:rsidR="006351F8" w:rsidRPr="00191D29">
        <w:t xml:space="preserve"> to</w:t>
      </w:r>
      <w:r w:rsidR="0053684A" w:rsidRPr="00191D29">
        <w:t xml:space="preserve"> </w:t>
      </w:r>
      <w:r w:rsidR="00892AB7" w:rsidRPr="00191D29">
        <w:t xml:space="preserve">10% of energy used by international shipping to be generated from </w:t>
      </w:r>
      <w:r w:rsidR="00DB105F" w:rsidRPr="00191D29">
        <w:t>zero/near-zero fuels, energy sources and</w:t>
      </w:r>
      <w:r w:rsidR="005D357B" w:rsidRPr="00191D29">
        <w:t xml:space="preserve"> </w:t>
      </w:r>
      <w:r w:rsidR="00DB105F" w:rsidRPr="00191D29">
        <w:t>technologies</w:t>
      </w:r>
      <w:r w:rsidR="0031795E" w:rsidRPr="00191D29">
        <w:t>,</w:t>
      </w:r>
      <w:r w:rsidR="008840AC" w:rsidRPr="00191D29">
        <w:t xml:space="preserve"> </w:t>
      </w:r>
      <w:r w:rsidR="00DC6647" w:rsidRPr="00191D29">
        <w:t xml:space="preserve">which is </w:t>
      </w:r>
      <w:r w:rsidR="00C96D34" w:rsidRPr="00191D29">
        <w:t xml:space="preserve">intended to </w:t>
      </w:r>
      <w:r w:rsidR="00D000AA" w:rsidRPr="00191D29">
        <w:t>deliver</w:t>
      </w:r>
      <w:r w:rsidR="00C96D34" w:rsidRPr="00191D29">
        <w:t xml:space="preserve"> </w:t>
      </w:r>
      <w:r w:rsidR="00FC447B" w:rsidRPr="00191D29">
        <w:t>a</w:t>
      </w:r>
      <w:r w:rsidR="00C96D34" w:rsidRPr="00191D29">
        <w:t xml:space="preserve"> </w:t>
      </w:r>
      <w:r w:rsidR="00D000AA" w:rsidRPr="00191D29">
        <w:t>“</w:t>
      </w:r>
      <w:r w:rsidR="00C96D34" w:rsidRPr="00191D29">
        <w:t>take-off</w:t>
      </w:r>
      <w:r w:rsidR="00D000AA" w:rsidRPr="00191D29">
        <w:t>”</w:t>
      </w:r>
      <w:r w:rsidR="00C96D34" w:rsidRPr="00191D29">
        <w:t xml:space="preserve"> point</w:t>
      </w:r>
      <w:r w:rsidR="00B20CD0" w:rsidRPr="00191D29">
        <w:t xml:space="preserve">, is </w:t>
      </w:r>
      <w:r w:rsidR="00717CC3" w:rsidRPr="00191D29">
        <w:t xml:space="preserve">less than </w:t>
      </w:r>
      <w:r w:rsidR="00DC6647" w:rsidRPr="00191D29">
        <w:t>six years away</w:t>
      </w:r>
      <w:r w:rsidR="00760DA9" w:rsidRPr="00191D29">
        <w:t>,</w:t>
      </w:r>
      <w:r w:rsidR="00B20CD0" w:rsidRPr="00191D29">
        <w:t xml:space="preserve"> and </w:t>
      </w:r>
      <w:r w:rsidR="008840AC" w:rsidRPr="00191D29">
        <w:t>is only</w:t>
      </w:r>
      <w:r w:rsidR="00F81041" w:rsidRPr="00191D29">
        <w:t xml:space="preserve"> likely to be achieved if </w:t>
      </w:r>
      <w:r w:rsidR="009F14CA" w:rsidRPr="00191D29">
        <w:t xml:space="preserve">a </w:t>
      </w:r>
      <w:r w:rsidR="00E04643" w:rsidRPr="00191D29">
        <w:t xml:space="preserve">maritime </w:t>
      </w:r>
      <w:r w:rsidR="001E5671" w:rsidRPr="00191D29">
        <w:t>GHG pricing mechanism</w:t>
      </w:r>
      <w:r w:rsidR="00422374" w:rsidRPr="00191D29">
        <w:t xml:space="preserve"> is adopted by 2025 </w:t>
      </w:r>
      <w:r w:rsidR="00214F8F" w:rsidRPr="00191D29">
        <w:t xml:space="preserve">to </w:t>
      </w:r>
      <w:r w:rsidR="00EE05F1" w:rsidRPr="00191D29">
        <w:t xml:space="preserve">meaningfully </w:t>
      </w:r>
      <w:r w:rsidR="00733E79" w:rsidRPr="00191D29">
        <w:t xml:space="preserve">reduce the significant </w:t>
      </w:r>
      <w:r w:rsidR="00F24D81" w:rsidRPr="00191D29">
        <w:t>“</w:t>
      </w:r>
      <w:r w:rsidR="00733E79" w:rsidRPr="00191D29">
        <w:t>cost gap</w:t>
      </w:r>
      <w:r w:rsidR="00F24D81" w:rsidRPr="00191D29">
        <w:t>”</w:t>
      </w:r>
      <w:r w:rsidR="00733E79" w:rsidRPr="00191D29">
        <w:t xml:space="preserve"> </w:t>
      </w:r>
      <w:r w:rsidR="00FC0881" w:rsidRPr="00191D29">
        <w:t>which currently exist</w:t>
      </w:r>
      <w:r w:rsidR="00F24D81" w:rsidRPr="00191D29">
        <w:t>s</w:t>
      </w:r>
      <w:r w:rsidR="00FC0881" w:rsidRPr="00191D29">
        <w:t xml:space="preserve"> </w:t>
      </w:r>
      <w:r w:rsidR="00733E79" w:rsidRPr="00191D29">
        <w:t xml:space="preserve">between </w:t>
      </w:r>
      <w:r w:rsidR="00375E6D" w:rsidRPr="00191D29">
        <w:t>zero/near-zero fuels and conventional fuel</w:t>
      </w:r>
      <w:r w:rsidR="00FC0881" w:rsidRPr="00191D29">
        <w:t>s</w:t>
      </w:r>
      <w:r w:rsidR="00912AD0" w:rsidRPr="00191D29">
        <w:t xml:space="preserve"> and </w:t>
      </w:r>
      <w:r w:rsidR="00E04643" w:rsidRPr="00191D29">
        <w:t xml:space="preserve">which </w:t>
      </w:r>
      <w:r w:rsidR="00717CC3" w:rsidRPr="00191D29">
        <w:t xml:space="preserve">also, importantly, </w:t>
      </w:r>
      <w:r w:rsidR="00782D9E" w:rsidRPr="00191D29">
        <w:t>de-risk</w:t>
      </w:r>
      <w:r w:rsidR="00717CC3" w:rsidRPr="00191D29">
        <w:t>s</w:t>
      </w:r>
      <w:r w:rsidR="00782D9E" w:rsidRPr="00191D29">
        <w:t xml:space="preserve"> the investment decisions that </w:t>
      </w:r>
      <w:r w:rsidR="001F01F4" w:rsidRPr="00191D29">
        <w:t xml:space="preserve">urgently </w:t>
      </w:r>
      <w:r w:rsidR="00782D9E" w:rsidRPr="00191D29">
        <w:t xml:space="preserve">need be taken by energy producers and </w:t>
      </w:r>
      <w:r w:rsidR="001F01F4" w:rsidRPr="00191D29">
        <w:t xml:space="preserve">the </w:t>
      </w:r>
      <w:r w:rsidR="00782D9E" w:rsidRPr="00191D29">
        <w:t>shipping</w:t>
      </w:r>
      <w:r w:rsidR="001F01F4" w:rsidRPr="00191D29">
        <w:t xml:space="preserve"> industry. </w:t>
      </w:r>
    </w:p>
    <w:p w14:paraId="6C7938A6" w14:textId="77777777" w:rsidR="00BE445F" w:rsidRPr="00191D29" w:rsidRDefault="00BE445F" w:rsidP="006B337E">
      <w:pPr>
        <w:tabs>
          <w:tab w:val="clear" w:pos="851"/>
        </w:tabs>
      </w:pPr>
    </w:p>
    <w:p w14:paraId="56B36045" w14:textId="54CA9C00" w:rsidR="00C32590" w:rsidRPr="00191D29" w:rsidRDefault="00CF5513" w:rsidP="006B337E">
      <w:pPr>
        <w:tabs>
          <w:tab w:val="clear" w:pos="851"/>
        </w:tabs>
      </w:pPr>
      <w:r w:rsidRPr="00191D29">
        <w:t>1</w:t>
      </w:r>
      <w:r w:rsidR="00FC447B" w:rsidRPr="00191D29">
        <w:t>2</w:t>
      </w:r>
      <w:r w:rsidR="004108A5" w:rsidRPr="00191D29">
        <w:tab/>
      </w:r>
      <w:r w:rsidR="00BE445F" w:rsidRPr="00191D29">
        <w:t xml:space="preserve">Apart </w:t>
      </w:r>
      <w:r w:rsidR="008F291B" w:rsidRPr="00191D29">
        <w:t xml:space="preserve">from the need to achieve </w:t>
      </w:r>
      <w:r w:rsidR="00C5226E" w:rsidRPr="00191D29">
        <w:t xml:space="preserve">a </w:t>
      </w:r>
      <w:r w:rsidR="008F291B" w:rsidRPr="00191D29">
        <w:t>“take-off” point with respect to the production and uptake of zero/near-zero GHG fuels</w:t>
      </w:r>
      <w:r w:rsidR="00C47347" w:rsidRPr="00191D29">
        <w:t xml:space="preserve">, the transition to net zero will only </w:t>
      </w:r>
      <w:r w:rsidR="006D3F9D" w:rsidRPr="00191D29">
        <w:t xml:space="preserve">succeed if it </w:t>
      </w:r>
      <w:r w:rsidR="00AF7C1A" w:rsidRPr="00191D29">
        <w:t xml:space="preserve">is </w:t>
      </w:r>
      <w:r w:rsidR="006D3F9D" w:rsidRPr="00191D29">
        <w:t xml:space="preserve">truly global </w:t>
      </w:r>
      <w:r w:rsidR="00276673" w:rsidRPr="00191D29">
        <w:t>and</w:t>
      </w:r>
      <w:r w:rsidR="00705495" w:rsidRPr="00191D29">
        <w:t xml:space="preserve">, </w:t>
      </w:r>
      <w:r w:rsidR="006C42DB" w:rsidRPr="00191D29">
        <w:t xml:space="preserve">noting the </w:t>
      </w:r>
      <w:r w:rsidR="00F52751" w:rsidRPr="00191D29">
        <w:t xml:space="preserve">very </w:t>
      </w:r>
      <w:r w:rsidR="006C42DB" w:rsidRPr="00191D29">
        <w:t xml:space="preserve">ambitious </w:t>
      </w:r>
      <w:r w:rsidR="00FE1AC6" w:rsidRPr="00191D29">
        <w:t xml:space="preserve">IMO </w:t>
      </w:r>
      <w:r w:rsidR="006C42DB" w:rsidRPr="00191D29">
        <w:t xml:space="preserve">2040 </w:t>
      </w:r>
      <w:r w:rsidR="00A25A12" w:rsidRPr="00191D29">
        <w:t xml:space="preserve">goal </w:t>
      </w:r>
      <w:r w:rsidR="00FE1AC6" w:rsidRPr="00191D29">
        <w:t>for absolute GHG emissions reductions</w:t>
      </w:r>
      <w:r w:rsidR="00F52751" w:rsidRPr="00191D29">
        <w:t>,</w:t>
      </w:r>
      <w:r w:rsidR="005B6AA8" w:rsidRPr="00191D29">
        <w:t xml:space="preserve"> </w:t>
      </w:r>
      <w:r w:rsidR="00FE1AC6" w:rsidRPr="00191D29">
        <w:br/>
      </w:r>
      <w:r w:rsidR="00AF7C1A" w:rsidRPr="00191D29">
        <w:t xml:space="preserve">a </w:t>
      </w:r>
      <w:r w:rsidR="00276673" w:rsidRPr="00191D29">
        <w:t xml:space="preserve">means </w:t>
      </w:r>
      <w:r w:rsidR="005B6AA8" w:rsidRPr="00191D29">
        <w:t>need</w:t>
      </w:r>
      <w:r w:rsidR="00A876F6" w:rsidRPr="00191D29">
        <w:t>s</w:t>
      </w:r>
      <w:r w:rsidR="005B6AA8" w:rsidRPr="00191D29">
        <w:t xml:space="preserve"> </w:t>
      </w:r>
      <w:r w:rsidR="00875047" w:rsidRPr="00191D29">
        <w:t xml:space="preserve">to </w:t>
      </w:r>
      <w:r w:rsidR="00276673" w:rsidRPr="00191D29">
        <w:t>be found of ensu</w:t>
      </w:r>
      <w:r w:rsidR="007B0208" w:rsidRPr="00191D29">
        <w:t>r</w:t>
      </w:r>
      <w:r w:rsidR="00276673" w:rsidRPr="00191D29">
        <w:t>ing</w:t>
      </w:r>
      <w:r w:rsidR="0061324B" w:rsidRPr="00191D29">
        <w:t>,</w:t>
      </w:r>
      <w:r w:rsidR="00276673" w:rsidRPr="00191D29">
        <w:t xml:space="preserve"> </w:t>
      </w:r>
      <w:r w:rsidR="001152EE" w:rsidRPr="00191D29">
        <w:t>by 2040</w:t>
      </w:r>
      <w:r w:rsidR="0061324B" w:rsidRPr="00191D29">
        <w:t>,</w:t>
      </w:r>
      <w:r w:rsidR="001152EE" w:rsidRPr="00191D29">
        <w:t xml:space="preserve"> </w:t>
      </w:r>
      <w:r w:rsidR="00276673" w:rsidRPr="00191D29">
        <w:t>that</w:t>
      </w:r>
      <w:r w:rsidR="001152EE" w:rsidRPr="00191D29">
        <w:t xml:space="preserve"> zero/near-zero GHG </w:t>
      </w:r>
      <w:r w:rsidR="00A91053" w:rsidRPr="00191D29">
        <w:t xml:space="preserve">marine </w:t>
      </w:r>
      <w:r w:rsidR="001152EE" w:rsidRPr="00191D29">
        <w:t>fuels</w:t>
      </w:r>
      <w:r w:rsidR="005F77EF">
        <w:t>,</w:t>
      </w:r>
      <w:r w:rsidR="008F291B" w:rsidRPr="00191D29">
        <w:t xml:space="preserve"> </w:t>
      </w:r>
      <w:r w:rsidR="00787DC6">
        <w:t xml:space="preserve">which are </w:t>
      </w:r>
      <w:r w:rsidR="004B037D" w:rsidRPr="00191D29">
        <w:t>safe</w:t>
      </w:r>
      <w:r w:rsidR="005F77EF">
        <w:t>,</w:t>
      </w:r>
      <w:r w:rsidR="00787DC6">
        <w:t xml:space="preserve"> and</w:t>
      </w:r>
      <w:r w:rsidR="004B037D" w:rsidRPr="00191D29">
        <w:t xml:space="preserve"> </w:t>
      </w:r>
      <w:r w:rsidR="001152EE" w:rsidRPr="00191D29">
        <w:t xml:space="preserve">available </w:t>
      </w:r>
      <w:r w:rsidR="00A91053" w:rsidRPr="00191D29">
        <w:t xml:space="preserve">in </w:t>
      </w:r>
      <w:r w:rsidR="004B037D" w:rsidRPr="00191D29">
        <w:t xml:space="preserve">sufficient quantities in </w:t>
      </w:r>
      <w:r w:rsidR="009F7950" w:rsidRPr="00191D29">
        <w:t xml:space="preserve">all </w:t>
      </w:r>
      <w:r w:rsidR="00A91053" w:rsidRPr="00191D29">
        <w:t xml:space="preserve">ports worldwide, including developing countries, in particular </w:t>
      </w:r>
      <w:r w:rsidR="00AF7C1A" w:rsidRPr="00191D29">
        <w:t>LDC</w:t>
      </w:r>
      <w:r w:rsidR="009F7950" w:rsidRPr="00191D29">
        <w:t>s and SIDS. A mechanism there</w:t>
      </w:r>
      <w:r w:rsidR="00EB4B16" w:rsidRPr="00191D29">
        <w:t>fore</w:t>
      </w:r>
      <w:r w:rsidR="009F7950" w:rsidRPr="00191D29">
        <w:t xml:space="preserve"> </w:t>
      </w:r>
      <w:r w:rsidR="00116411" w:rsidRPr="00191D29">
        <w:t xml:space="preserve">also </w:t>
      </w:r>
      <w:r w:rsidR="009F7950" w:rsidRPr="00191D29">
        <w:t xml:space="preserve">needs to be </w:t>
      </w:r>
      <w:r w:rsidR="00936A81" w:rsidRPr="00191D29">
        <w:t>established as soon as possible</w:t>
      </w:r>
      <w:r w:rsidR="009F7950" w:rsidRPr="00191D29">
        <w:t xml:space="preserve"> that </w:t>
      </w:r>
      <w:r w:rsidR="00936A81" w:rsidRPr="00191D29">
        <w:t xml:space="preserve">will </w:t>
      </w:r>
      <w:r w:rsidR="009F7950" w:rsidRPr="00191D29">
        <w:t xml:space="preserve">generate </w:t>
      </w:r>
      <w:r w:rsidR="0024086B" w:rsidRPr="00191D29">
        <w:t xml:space="preserve">– with certainty – </w:t>
      </w:r>
      <w:r w:rsidR="004D089A" w:rsidRPr="00191D29">
        <w:t xml:space="preserve">billions of </w:t>
      </w:r>
      <w:r w:rsidR="00116411" w:rsidRPr="00191D29">
        <w:t xml:space="preserve">US </w:t>
      </w:r>
      <w:r w:rsidR="004D089A" w:rsidRPr="00191D29">
        <w:t>dollars</w:t>
      </w:r>
      <w:r w:rsidR="00A91053" w:rsidRPr="00191D29">
        <w:t xml:space="preserve"> </w:t>
      </w:r>
      <w:r w:rsidR="00936A81" w:rsidRPr="00191D29">
        <w:t xml:space="preserve">of funds </w:t>
      </w:r>
      <w:r w:rsidR="004D089A" w:rsidRPr="00191D29">
        <w:t>to support the maritime GHG reduction efforts of developing countries</w:t>
      </w:r>
      <w:r w:rsidR="004108A5" w:rsidRPr="00191D29">
        <w:t>.</w:t>
      </w:r>
      <w:r w:rsidR="008F291B" w:rsidRPr="00191D29">
        <w:t xml:space="preserve"> </w:t>
      </w:r>
    </w:p>
    <w:p w14:paraId="03CE8D54" w14:textId="77777777" w:rsidR="00C32590" w:rsidRPr="00191D29" w:rsidRDefault="00C32590" w:rsidP="006B337E">
      <w:pPr>
        <w:tabs>
          <w:tab w:val="clear" w:pos="851"/>
        </w:tabs>
      </w:pPr>
    </w:p>
    <w:p w14:paraId="2A997F3A" w14:textId="435D9202" w:rsidR="00CE6F20" w:rsidRPr="00191D29" w:rsidRDefault="00CF5513" w:rsidP="006B337E">
      <w:pPr>
        <w:tabs>
          <w:tab w:val="clear" w:pos="851"/>
        </w:tabs>
      </w:pPr>
      <w:r w:rsidRPr="00191D29">
        <w:t>1</w:t>
      </w:r>
      <w:r w:rsidR="00314DF7" w:rsidRPr="00191D29">
        <w:t>3</w:t>
      </w:r>
      <w:r w:rsidR="00C32590" w:rsidRPr="00191D29">
        <w:tab/>
      </w:r>
      <w:r w:rsidR="00DC3212">
        <w:t xml:space="preserve">The co-sponsors </w:t>
      </w:r>
      <w:r w:rsidR="003D5B64" w:rsidRPr="00191D29">
        <w:t xml:space="preserve">therefore propose that </w:t>
      </w:r>
      <w:r w:rsidR="003D5B42" w:rsidRPr="00191D29">
        <w:t xml:space="preserve">a </w:t>
      </w:r>
      <w:r w:rsidR="009530BA" w:rsidRPr="00191D29">
        <w:t xml:space="preserve">substantial proportion of the contributions made by </w:t>
      </w:r>
      <w:r w:rsidR="00846FBC" w:rsidRPr="00191D29">
        <w:t xml:space="preserve">ships to the proposed Zero Emission </w:t>
      </w:r>
      <w:r w:rsidR="00764335" w:rsidRPr="00191D29">
        <w:t xml:space="preserve">Shipping </w:t>
      </w:r>
      <w:r w:rsidR="00846FBC" w:rsidRPr="00191D29">
        <w:t xml:space="preserve">Fund </w:t>
      </w:r>
      <w:r w:rsidR="00764335" w:rsidRPr="00191D29">
        <w:t xml:space="preserve">(ZESF) </w:t>
      </w:r>
      <w:r w:rsidR="008D7E67" w:rsidRPr="00191D29">
        <w:t xml:space="preserve">should be transferred to </w:t>
      </w:r>
      <w:r w:rsidR="00C82F90" w:rsidRPr="00191D29">
        <w:t>a separate fund</w:t>
      </w:r>
      <w:r w:rsidR="009A72AE" w:rsidRPr="00191D29">
        <w:t xml:space="preserve">, </w:t>
      </w:r>
      <w:r w:rsidR="00764335" w:rsidRPr="00191D29">
        <w:t>provisional</w:t>
      </w:r>
      <w:r w:rsidR="009A72AE" w:rsidRPr="00191D29">
        <w:t>ly</w:t>
      </w:r>
      <w:r w:rsidR="00764335" w:rsidRPr="00191D29">
        <w:t xml:space="preserve"> </w:t>
      </w:r>
      <w:r w:rsidR="009A72AE" w:rsidRPr="00191D29">
        <w:t xml:space="preserve">called </w:t>
      </w:r>
      <w:r w:rsidR="00C82F90" w:rsidRPr="00191D29">
        <w:t>the IMO (GHG) Maritime Sustain</w:t>
      </w:r>
      <w:r w:rsidR="00E702DD" w:rsidRPr="00191D29">
        <w:t>ability Fund (IMSF)</w:t>
      </w:r>
      <w:r w:rsidR="009A72AE" w:rsidRPr="00191D29">
        <w:t xml:space="preserve">, to support the maritime GHG reduction </w:t>
      </w:r>
      <w:r w:rsidR="00F951AA" w:rsidRPr="00191D29">
        <w:t>effort</w:t>
      </w:r>
      <w:r w:rsidR="00E326A3" w:rsidRPr="00191D29">
        <w:t>s</w:t>
      </w:r>
      <w:r w:rsidR="00F951AA" w:rsidRPr="00191D29">
        <w:t xml:space="preserve"> of developing countries.</w:t>
      </w:r>
      <w:r w:rsidR="00846FBC" w:rsidRPr="00191D29">
        <w:t xml:space="preserve"> </w:t>
      </w:r>
      <w:r w:rsidR="00EC4FA1" w:rsidRPr="00191D29">
        <w:t xml:space="preserve">Once </w:t>
      </w:r>
      <w:r w:rsidR="00587989" w:rsidRPr="00191D29">
        <w:t xml:space="preserve">a “take-off” </w:t>
      </w:r>
      <w:r w:rsidR="00ED1749" w:rsidRPr="00191D29">
        <w:t xml:space="preserve">point </w:t>
      </w:r>
      <w:r w:rsidR="000B6CEB" w:rsidRPr="00191D29">
        <w:t>is</w:t>
      </w:r>
      <w:r w:rsidR="00587989" w:rsidRPr="00191D29">
        <w:t xml:space="preserve"> reached with regard to the uptake of </w:t>
      </w:r>
      <w:r w:rsidR="000B6CEB" w:rsidRPr="00191D29">
        <w:t>zero/near-zero GHG fuels</w:t>
      </w:r>
      <w:r w:rsidR="00915042" w:rsidRPr="00191D29">
        <w:t xml:space="preserve"> by ships,</w:t>
      </w:r>
      <w:r w:rsidR="00EC4FA1" w:rsidRPr="00191D29">
        <w:t xml:space="preserve"> </w:t>
      </w:r>
      <w:r w:rsidR="00F56D36" w:rsidRPr="00191D29">
        <w:t xml:space="preserve">and </w:t>
      </w:r>
      <w:r w:rsidR="00EC4FA1" w:rsidRPr="00191D29">
        <w:t xml:space="preserve">the </w:t>
      </w:r>
      <w:r w:rsidR="00F56D36" w:rsidRPr="00191D29">
        <w:t xml:space="preserve">necessary </w:t>
      </w:r>
      <w:r w:rsidR="009944BD" w:rsidRPr="00191D29">
        <w:t xml:space="preserve">growth in the </w:t>
      </w:r>
      <w:r w:rsidR="00010922" w:rsidRPr="00191D29">
        <w:t xml:space="preserve">generation of </w:t>
      </w:r>
      <w:r w:rsidR="009944BD" w:rsidRPr="00191D29">
        <w:t xml:space="preserve">zero/near-zero </w:t>
      </w:r>
      <w:r w:rsidR="00010922" w:rsidRPr="00191D29">
        <w:t xml:space="preserve">fuels </w:t>
      </w:r>
      <w:r w:rsidR="00DB5B33" w:rsidRPr="00191D29">
        <w:t xml:space="preserve">and bunkering </w:t>
      </w:r>
      <w:r w:rsidR="002C36B7" w:rsidRPr="00191D29">
        <w:t xml:space="preserve">infrastructure </w:t>
      </w:r>
      <w:r w:rsidR="007F586C" w:rsidRPr="00191D29">
        <w:t>is required</w:t>
      </w:r>
      <w:r w:rsidR="00317128" w:rsidRPr="00191D29">
        <w:t>,</w:t>
      </w:r>
      <w:r w:rsidR="007F586C" w:rsidRPr="00191D29">
        <w:t xml:space="preserve"> </w:t>
      </w:r>
      <w:r w:rsidR="00A05FF6" w:rsidRPr="00191D29">
        <w:t>at s</w:t>
      </w:r>
      <w:r w:rsidR="00317128" w:rsidRPr="00191D29">
        <w:t xml:space="preserve">cale, </w:t>
      </w:r>
      <w:r w:rsidR="007F586C" w:rsidRPr="00191D29">
        <w:t>in developing countries</w:t>
      </w:r>
      <w:r w:rsidR="00FD729F" w:rsidRPr="00191D29">
        <w:t xml:space="preserve">’ ports </w:t>
      </w:r>
      <w:r w:rsidR="00EC4FA1" w:rsidRPr="00191D29">
        <w:t xml:space="preserve">to provide </w:t>
      </w:r>
      <w:r w:rsidR="00B6288D" w:rsidRPr="00191D29">
        <w:t xml:space="preserve">these </w:t>
      </w:r>
      <w:r w:rsidR="0007085A" w:rsidRPr="00191D29">
        <w:t>zero/near</w:t>
      </w:r>
      <w:r w:rsidR="00FD729F" w:rsidRPr="00191D29">
        <w:t>-</w:t>
      </w:r>
      <w:r w:rsidR="0007085A" w:rsidRPr="00191D29">
        <w:t xml:space="preserve">zero </w:t>
      </w:r>
      <w:r w:rsidR="00FD729F" w:rsidRPr="00191D29">
        <w:t xml:space="preserve">GHG marine </w:t>
      </w:r>
      <w:r w:rsidR="00B6288D" w:rsidRPr="00191D29">
        <w:t>fuel</w:t>
      </w:r>
      <w:r w:rsidR="00915042" w:rsidRPr="00191D29">
        <w:t>s</w:t>
      </w:r>
      <w:r w:rsidR="00F67169" w:rsidRPr="00191D29">
        <w:t>,</w:t>
      </w:r>
      <w:r w:rsidR="00B6288D" w:rsidRPr="00191D29">
        <w:t xml:space="preserve"> </w:t>
      </w:r>
      <w:r w:rsidR="00E63956" w:rsidRPr="00191D29">
        <w:t xml:space="preserve">it is suggested </w:t>
      </w:r>
      <w:r w:rsidR="00B6288D" w:rsidRPr="00191D29">
        <w:t xml:space="preserve">that the </w:t>
      </w:r>
      <w:r w:rsidR="00F67169" w:rsidRPr="00191D29">
        <w:t xml:space="preserve">proportion </w:t>
      </w:r>
      <w:r w:rsidR="00BD32E9" w:rsidRPr="00191D29">
        <w:t xml:space="preserve">of funds to be allocated </w:t>
      </w:r>
      <w:r w:rsidR="00F67169" w:rsidRPr="00191D29">
        <w:t xml:space="preserve">by the ZESF </w:t>
      </w:r>
      <w:r w:rsidR="00BD32E9" w:rsidRPr="00191D29">
        <w:t>to the IMSF should be increase</w:t>
      </w:r>
      <w:r w:rsidR="00765FC8" w:rsidRPr="00191D29">
        <w:t>d</w:t>
      </w:r>
      <w:r w:rsidR="006A5308" w:rsidRPr="00191D29">
        <w:t xml:space="preserve">. </w:t>
      </w:r>
    </w:p>
    <w:p w14:paraId="564F3ABA" w14:textId="77777777" w:rsidR="00CE6F20" w:rsidRPr="00191D29" w:rsidRDefault="00CE6F20" w:rsidP="006B337E">
      <w:pPr>
        <w:tabs>
          <w:tab w:val="clear" w:pos="851"/>
        </w:tabs>
      </w:pPr>
    </w:p>
    <w:p w14:paraId="349492E6" w14:textId="6C46A822" w:rsidR="00DE4556" w:rsidRPr="00191D29" w:rsidRDefault="00CE6F20" w:rsidP="006B337E">
      <w:pPr>
        <w:tabs>
          <w:tab w:val="clear" w:pos="851"/>
        </w:tabs>
      </w:pPr>
      <w:r w:rsidRPr="00191D29">
        <w:t>1</w:t>
      </w:r>
      <w:r w:rsidR="00314DF7" w:rsidRPr="00191D29">
        <w:t>4</w:t>
      </w:r>
      <w:r w:rsidRPr="00191D29">
        <w:tab/>
      </w:r>
      <w:r w:rsidR="00E34547" w:rsidRPr="00191D29">
        <w:t xml:space="preserve">However, the provision of funds for </w:t>
      </w:r>
      <w:r w:rsidR="000927BB" w:rsidRPr="00191D29">
        <w:t xml:space="preserve">GHG reduction </w:t>
      </w:r>
      <w:r w:rsidR="00E34547" w:rsidRPr="00191D29">
        <w:t>project</w:t>
      </w:r>
      <w:r w:rsidR="00E33E00" w:rsidRPr="00191D29">
        <w:t>s</w:t>
      </w:r>
      <w:r w:rsidR="00E34547" w:rsidRPr="00191D29">
        <w:t xml:space="preserve"> and programmes in developing countries can only </w:t>
      </w:r>
      <w:r w:rsidR="00E33E00" w:rsidRPr="00191D29">
        <w:t xml:space="preserve">commence </w:t>
      </w:r>
      <w:r w:rsidR="00EE02F3" w:rsidRPr="00191D29">
        <w:t>after</w:t>
      </w:r>
      <w:r w:rsidR="00E33E00" w:rsidRPr="00191D29">
        <w:t xml:space="preserve"> the regul</w:t>
      </w:r>
      <w:r w:rsidR="00587989" w:rsidRPr="00191D29">
        <w:t>a</w:t>
      </w:r>
      <w:r w:rsidR="00E33E00" w:rsidRPr="00191D29">
        <w:t>tory</w:t>
      </w:r>
      <w:r w:rsidR="00587989" w:rsidRPr="00191D29">
        <w:t xml:space="preserve"> </w:t>
      </w:r>
      <w:r w:rsidR="002E244A" w:rsidRPr="00191D29">
        <w:t xml:space="preserve">architecture </w:t>
      </w:r>
      <w:r w:rsidR="00EC7E2D" w:rsidRPr="00191D29">
        <w:t>for the flat rate contribution mechanism for the ZESF has been established</w:t>
      </w:r>
      <w:r w:rsidR="00027B6C" w:rsidRPr="00191D29">
        <w:t>. W</w:t>
      </w:r>
      <w:r w:rsidR="00147B4B" w:rsidRPr="00191D29">
        <w:t xml:space="preserve">hilst some funds </w:t>
      </w:r>
      <w:r w:rsidR="00163C2F" w:rsidRPr="00191D29">
        <w:t>can</w:t>
      </w:r>
      <w:r w:rsidR="00147B4B" w:rsidRPr="00191D29">
        <w:t xml:space="preserve"> </w:t>
      </w:r>
      <w:r w:rsidR="001D1FE5" w:rsidRPr="00191D29">
        <w:t xml:space="preserve">begin to </w:t>
      </w:r>
      <w:r w:rsidR="00147B4B" w:rsidRPr="00191D29">
        <w:t>be transferred to the IMSF</w:t>
      </w:r>
      <w:r w:rsidR="001D1FE5" w:rsidRPr="00191D29">
        <w:t xml:space="preserve"> as soon as </w:t>
      </w:r>
      <w:r w:rsidR="00746DC4" w:rsidRPr="00191D29">
        <w:t xml:space="preserve">the ZESF becomes </w:t>
      </w:r>
      <w:r w:rsidR="00124AF5" w:rsidRPr="00191D29">
        <w:t xml:space="preserve">fully </w:t>
      </w:r>
      <w:r w:rsidR="00746DC4" w:rsidRPr="00191D29">
        <w:t xml:space="preserve">operational, </w:t>
      </w:r>
      <w:r w:rsidR="00452658" w:rsidRPr="00191D29">
        <w:t xml:space="preserve">the immediate priority of the </w:t>
      </w:r>
      <w:r w:rsidR="00EF0E02" w:rsidRPr="00191D29">
        <w:t>ZESF should</w:t>
      </w:r>
      <w:r w:rsidR="00873CF8" w:rsidRPr="00191D29">
        <w:t xml:space="preserve"> be</w:t>
      </w:r>
      <w:r w:rsidR="005D0A54" w:rsidRPr="00191D29">
        <w:t xml:space="preserve"> </w:t>
      </w:r>
      <w:r w:rsidR="008C3B51" w:rsidRPr="00191D29">
        <w:t xml:space="preserve">to achieve, </w:t>
      </w:r>
      <w:r w:rsidR="00EF0E02" w:rsidRPr="00191D29">
        <w:t xml:space="preserve">through the provision of rewards to ships to </w:t>
      </w:r>
      <w:r w:rsidR="00F80E2B" w:rsidRPr="00191D29">
        <w:t>reduce</w:t>
      </w:r>
      <w:r w:rsidR="00EF0E02" w:rsidRPr="00191D29">
        <w:t xml:space="preserve"> the </w:t>
      </w:r>
      <w:r w:rsidR="00746DC4" w:rsidRPr="00191D29">
        <w:t xml:space="preserve">cost </w:t>
      </w:r>
      <w:r w:rsidR="00EF0E02" w:rsidRPr="00191D29">
        <w:t xml:space="preserve">gap, </w:t>
      </w:r>
      <w:r w:rsidR="00DF39F7" w:rsidRPr="00191D29">
        <w:t xml:space="preserve">a </w:t>
      </w:r>
      <w:r w:rsidR="00E2797B" w:rsidRPr="00191D29">
        <w:t>“take</w:t>
      </w:r>
      <w:r w:rsidR="00E51180" w:rsidRPr="00191D29">
        <w:t xml:space="preserve">-off” </w:t>
      </w:r>
      <w:r w:rsidR="001450F1" w:rsidRPr="00191D29">
        <w:t xml:space="preserve">point </w:t>
      </w:r>
      <w:r w:rsidR="00944CA8" w:rsidRPr="00191D29">
        <w:t xml:space="preserve">in the production </w:t>
      </w:r>
      <w:r w:rsidR="008C3B51" w:rsidRPr="00191D29">
        <w:t xml:space="preserve">and uptake </w:t>
      </w:r>
      <w:r w:rsidR="00944CA8" w:rsidRPr="00191D29">
        <w:t xml:space="preserve">of zero/near-zero GHG fuels </w:t>
      </w:r>
      <w:r w:rsidR="00E2797B" w:rsidRPr="00191D29">
        <w:t xml:space="preserve">and </w:t>
      </w:r>
      <w:r w:rsidR="00E2797B" w:rsidRPr="00191D29">
        <w:lastRenderedPageBreak/>
        <w:t xml:space="preserve">delivery of the </w:t>
      </w:r>
      <w:r w:rsidR="00AA11E6" w:rsidRPr="00191D29">
        <w:t xml:space="preserve">critical </w:t>
      </w:r>
      <w:r w:rsidR="00386CBE" w:rsidRPr="00191D29">
        <w:t>2030 level of ambition for 5</w:t>
      </w:r>
      <w:r w:rsidR="00116411" w:rsidRPr="00191D29">
        <w:t xml:space="preserve"> to </w:t>
      </w:r>
      <w:r w:rsidR="00386CBE" w:rsidRPr="00191D29">
        <w:t xml:space="preserve">10% of the energy </w:t>
      </w:r>
      <w:r w:rsidR="00CE0357" w:rsidRPr="00191D29">
        <w:t>used b</w:t>
      </w:r>
      <w:r w:rsidR="00AA11E6" w:rsidRPr="00191D29">
        <w:t>y international</w:t>
      </w:r>
      <w:r w:rsidR="00CE0357" w:rsidRPr="00191D29">
        <w:t xml:space="preserve"> shipping to be generated from zero/near-zero fuels and/or energy sources</w:t>
      </w:r>
      <w:r w:rsidR="006077AB">
        <w:t xml:space="preserve"> and technologies.</w:t>
      </w:r>
      <w:r w:rsidR="00EC7E2D" w:rsidRPr="00191D29">
        <w:t xml:space="preserve"> </w:t>
      </w:r>
      <w:r w:rsidR="00EE05F1" w:rsidRPr="00191D29">
        <w:t xml:space="preserve"> </w:t>
      </w:r>
    </w:p>
    <w:p w14:paraId="36B040F0" w14:textId="77777777" w:rsidR="003B3B0A" w:rsidRPr="00191D29" w:rsidRDefault="003B3B0A" w:rsidP="006B337E">
      <w:pPr>
        <w:tabs>
          <w:tab w:val="clear" w:pos="851"/>
        </w:tabs>
      </w:pPr>
    </w:p>
    <w:p w14:paraId="344A17CD" w14:textId="4FAA741A" w:rsidR="009900A5" w:rsidRPr="00191D29" w:rsidRDefault="00CF5513" w:rsidP="006B337E">
      <w:pPr>
        <w:tabs>
          <w:tab w:val="clear" w:pos="851"/>
        </w:tabs>
      </w:pPr>
      <w:r w:rsidRPr="00191D29">
        <w:t>1</w:t>
      </w:r>
      <w:r w:rsidR="00314DF7" w:rsidRPr="00191D29">
        <w:t>5</w:t>
      </w:r>
      <w:r w:rsidR="00DE4556" w:rsidRPr="00191D29">
        <w:tab/>
      </w:r>
      <w:r w:rsidR="009067BC" w:rsidRPr="00191D29">
        <w:t>S</w:t>
      </w:r>
      <w:r w:rsidR="00852E4D" w:rsidRPr="00191D29">
        <w:t xml:space="preserve">ignificant progress at MEPC </w:t>
      </w:r>
      <w:r w:rsidR="0031795E" w:rsidRPr="00191D29">
        <w:t xml:space="preserve">81 </w:t>
      </w:r>
      <w:r w:rsidR="009F14CA" w:rsidRPr="00191D29">
        <w:t xml:space="preserve">will </w:t>
      </w:r>
      <w:r w:rsidR="009067BC" w:rsidRPr="00191D29">
        <w:t xml:space="preserve">therefore be </w:t>
      </w:r>
      <w:r w:rsidR="009F14CA" w:rsidRPr="00191D29">
        <w:t>vital</w:t>
      </w:r>
      <w:r w:rsidR="002241F1" w:rsidRPr="00191D29">
        <w:t>,</w:t>
      </w:r>
      <w:r w:rsidR="00D20E22" w:rsidRPr="00191D29">
        <w:t xml:space="preserve"> and a </w:t>
      </w:r>
      <w:r w:rsidR="00DD33F4" w:rsidRPr="00191D29">
        <w:t xml:space="preserve">clear </w:t>
      </w:r>
      <w:r w:rsidR="0070596F" w:rsidRPr="00191D29">
        <w:t xml:space="preserve">recommendation </w:t>
      </w:r>
      <w:r w:rsidR="00D20E22" w:rsidRPr="00191D29">
        <w:t>need</w:t>
      </w:r>
      <w:r w:rsidR="00DD33F4" w:rsidRPr="00191D29">
        <w:t>s</w:t>
      </w:r>
      <w:r w:rsidR="00D20E22" w:rsidRPr="00191D29">
        <w:t xml:space="preserve"> to be </w:t>
      </w:r>
      <w:r w:rsidR="00D3338E" w:rsidRPr="00191D29">
        <w:t>made by ISWG-GHG 16</w:t>
      </w:r>
      <w:r w:rsidR="00752B0C" w:rsidRPr="00191D29">
        <w:t xml:space="preserve"> </w:t>
      </w:r>
      <w:r w:rsidR="00D20E22" w:rsidRPr="00191D29">
        <w:t>about which</w:t>
      </w:r>
      <w:r w:rsidR="00122DD3" w:rsidRPr="00191D29">
        <w:t xml:space="preserve"> type of </w:t>
      </w:r>
      <w:r w:rsidR="0004783C" w:rsidRPr="00191D29">
        <w:t xml:space="preserve">maritime </w:t>
      </w:r>
      <w:r w:rsidR="00122DD3" w:rsidRPr="00191D29">
        <w:t xml:space="preserve">GHG </w:t>
      </w:r>
      <w:r w:rsidR="0004783C" w:rsidRPr="00191D29">
        <w:t xml:space="preserve">emissions </w:t>
      </w:r>
      <w:r w:rsidR="00122DD3" w:rsidRPr="00191D29">
        <w:t xml:space="preserve">pricing mechanism </w:t>
      </w:r>
      <w:r w:rsidR="00A9585B" w:rsidRPr="00191D29">
        <w:t xml:space="preserve">should be </w:t>
      </w:r>
      <w:r w:rsidR="00BB5562" w:rsidRPr="00191D29">
        <w:t xml:space="preserve">taken </w:t>
      </w:r>
      <w:r w:rsidR="009327EA" w:rsidRPr="00191D29">
        <w:t xml:space="preserve">forward </w:t>
      </w:r>
      <w:r w:rsidR="00313865" w:rsidRPr="00191D29">
        <w:t>for finalisation</w:t>
      </w:r>
      <w:r w:rsidR="00DD33F4" w:rsidRPr="00191D29">
        <w:t>.</w:t>
      </w:r>
      <w:r w:rsidR="009F14CA" w:rsidRPr="00191D29">
        <w:t xml:space="preserve"> </w:t>
      </w:r>
      <w:r w:rsidR="00BF5A9B">
        <w:t>The co-sponsors</w:t>
      </w:r>
      <w:r w:rsidR="001C76F9" w:rsidRPr="00191D29">
        <w:t xml:space="preserve"> suggest that </w:t>
      </w:r>
      <w:r w:rsidR="006B1722">
        <w:t xml:space="preserve"> this </w:t>
      </w:r>
      <w:r w:rsidR="001C76F9" w:rsidRPr="00191D29">
        <w:t xml:space="preserve"> comprehensive </w:t>
      </w:r>
      <w:r w:rsidR="004A4E36" w:rsidRPr="00191D29">
        <w:t>proposal</w:t>
      </w:r>
      <w:r w:rsidR="00525D04" w:rsidRPr="00191D29">
        <w:t xml:space="preserve"> for </w:t>
      </w:r>
      <w:r w:rsidR="001862CF" w:rsidRPr="00191D29">
        <w:t xml:space="preserve">a </w:t>
      </w:r>
      <w:r w:rsidR="00525D04" w:rsidRPr="00191D29">
        <w:t>Fund and Reward (Feebate) mechanism</w:t>
      </w:r>
      <w:r w:rsidR="00E832FD" w:rsidRPr="00191D29">
        <w:t xml:space="preserve"> with</w:t>
      </w:r>
      <w:r w:rsidR="00502D35" w:rsidRPr="00191D29">
        <w:t xml:space="preserve"> </w:t>
      </w:r>
      <w:r w:rsidR="00E832FD" w:rsidRPr="00191D29">
        <w:t>flat rate contributions</w:t>
      </w:r>
      <w:r w:rsidR="004A4E36" w:rsidRPr="00191D29">
        <w:t xml:space="preserve"> </w:t>
      </w:r>
      <w:r w:rsidR="00502D35" w:rsidRPr="00191D29">
        <w:t>per tonne of CO</w:t>
      </w:r>
      <w:r w:rsidR="00502D35" w:rsidRPr="00191D29">
        <w:rPr>
          <w:vertAlign w:val="subscript"/>
        </w:rPr>
        <w:t>2</w:t>
      </w:r>
      <w:r w:rsidR="00502D35" w:rsidRPr="00191D29">
        <w:t>e</w:t>
      </w:r>
      <w:r w:rsidR="00481265" w:rsidRPr="00191D29">
        <w:t xml:space="preserve"> </w:t>
      </w:r>
      <w:r w:rsidR="00DE4F97" w:rsidRPr="00191D29">
        <w:t xml:space="preserve">to be </w:t>
      </w:r>
      <w:r w:rsidR="00502D35" w:rsidRPr="00191D29">
        <w:t xml:space="preserve">made </w:t>
      </w:r>
      <w:r w:rsidR="00481265" w:rsidRPr="00191D29">
        <w:t>by ships to</w:t>
      </w:r>
      <w:r w:rsidR="009A3E6B" w:rsidRPr="00191D29">
        <w:t xml:space="preserve"> a </w:t>
      </w:r>
      <w:r w:rsidR="00481265" w:rsidRPr="00191D29">
        <w:t>Zero Emission Shipping Fund (ZESF)</w:t>
      </w:r>
      <w:r w:rsidR="00553BE9" w:rsidRPr="00191D29">
        <w:t xml:space="preserve">, complete with the necessary regulatory architecture </w:t>
      </w:r>
      <w:r w:rsidR="00814509" w:rsidRPr="00191D29">
        <w:t xml:space="preserve">as set out in </w:t>
      </w:r>
      <w:r w:rsidR="00A75B27" w:rsidRPr="00191D29">
        <w:t xml:space="preserve">the annexes </w:t>
      </w:r>
      <w:r w:rsidR="00814509" w:rsidRPr="00191D29">
        <w:t>this document, therefore needs to be taken forward</w:t>
      </w:r>
      <w:r w:rsidR="00F72CBB" w:rsidRPr="00191D29">
        <w:t xml:space="preserve"> </w:t>
      </w:r>
      <w:r w:rsidR="001864F2" w:rsidRPr="00191D29">
        <w:t xml:space="preserve">for </w:t>
      </w:r>
      <w:r w:rsidR="005D571B" w:rsidRPr="00191D29">
        <w:t xml:space="preserve">finalisation </w:t>
      </w:r>
      <w:r w:rsidR="002821E0" w:rsidRPr="00191D29">
        <w:t>a</w:t>
      </w:r>
      <w:r w:rsidR="00F72CBB" w:rsidRPr="00191D29">
        <w:t>s soon as possible i</w:t>
      </w:r>
      <w:r w:rsidR="002A58E4" w:rsidRPr="00191D29">
        <w:t xml:space="preserve">f the </w:t>
      </w:r>
      <w:r w:rsidR="009944BD" w:rsidRPr="00191D29">
        <w:t xml:space="preserve">levels of ambition </w:t>
      </w:r>
      <w:r w:rsidR="00532C0A" w:rsidRPr="00191D29">
        <w:t xml:space="preserve">and </w:t>
      </w:r>
      <w:r w:rsidR="009944BD" w:rsidRPr="00191D29">
        <w:t xml:space="preserve">indicative </w:t>
      </w:r>
      <w:r w:rsidR="00532C0A" w:rsidRPr="00191D29">
        <w:t xml:space="preserve">checkpoints contained in the 2023 IMO GHG Strategy </w:t>
      </w:r>
      <w:r w:rsidR="009900A5" w:rsidRPr="00191D29">
        <w:t>are to remain achievable and plausible</w:t>
      </w:r>
      <w:r w:rsidR="006A4C6E" w:rsidRPr="00191D29">
        <w:t xml:space="preserve"> goals</w:t>
      </w:r>
      <w:r w:rsidR="009900A5" w:rsidRPr="00191D29">
        <w:t>.</w:t>
      </w:r>
    </w:p>
    <w:p w14:paraId="202313D7" w14:textId="77777777" w:rsidR="006977F1" w:rsidRPr="00191D29" w:rsidRDefault="006977F1" w:rsidP="006B337E">
      <w:pPr>
        <w:tabs>
          <w:tab w:val="clear" w:pos="851"/>
        </w:tabs>
      </w:pPr>
    </w:p>
    <w:p w14:paraId="446D5170" w14:textId="75F0F678" w:rsidR="00133D5B" w:rsidRPr="00191D29" w:rsidRDefault="00492314" w:rsidP="00B962E4">
      <w:pPr>
        <w:keepNext/>
        <w:keepLines/>
        <w:tabs>
          <w:tab w:val="clear" w:pos="851"/>
        </w:tabs>
        <w:rPr>
          <w:b/>
          <w:bCs/>
        </w:rPr>
      </w:pPr>
      <w:r w:rsidRPr="00191D29">
        <w:rPr>
          <w:b/>
          <w:bCs/>
        </w:rPr>
        <w:t xml:space="preserve">BACKGROUND TO </w:t>
      </w:r>
      <w:r w:rsidR="00D51070" w:rsidRPr="00191D29">
        <w:rPr>
          <w:b/>
          <w:bCs/>
        </w:rPr>
        <w:t xml:space="preserve">MODIFIED </w:t>
      </w:r>
      <w:r w:rsidRPr="00191D29">
        <w:rPr>
          <w:b/>
          <w:bCs/>
        </w:rPr>
        <w:t xml:space="preserve">ICS PROPOSAL FOR FUND AND REWARD (FEEBATE) MECHANISM </w:t>
      </w:r>
    </w:p>
    <w:p w14:paraId="5A4A388C" w14:textId="77777777" w:rsidR="009900A5" w:rsidRPr="00191D29" w:rsidRDefault="009900A5" w:rsidP="00B962E4">
      <w:pPr>
        <w:keepNext/>
        <w:keepLines/>
        <w:tabs>
          <w:tab w:val="clear" w:pos="851"/>
        </w:tabs>
        <w:rPr>
          <w:b/>
          <w:bCs/>
        </w:rPr>
      </w:pPr>
    </w:p>
    <w:p w14:paraId="2259B432" w14:textId="714F7C5C" w:rsidR="00A15F94" w:rsidRPr="00191D29" w:rsidRDefault="00DD2F83" w:rsidP="00B962E4">
      <w:pPr>
        <w:keepNext/>
        <w:keepLines/>
        <w:tabs>
          <w:tab w:val="clear" w:pos="851"/>
        </w:tabs>
      </w:pPr>
      <w:r w:rsidRPr="00191D29">
        <w:t>1</w:t>
      </w:r>
      <w:r w:rsidR="00314DF7" w:rsidRPr="00191D29">
        <w:t>6</w:t>
      </w:r>
      <w:r w:rsidR="00E968F2" w:rsidRPr="00191D29">
        <w:tab/>
      </w:r>
      <w:r w:rsidR="00A15F94" w:rsidRPr="00191D29">
        <w:t xml:space="preserve">The Group will recall that to facilitate consensus, document ISWG-GHG 13/4/9 (ICS) suggested combining core elements of proposals submitted under Phase I of the Work </w:t>
      </w:r>
      <w:r w:rsidR="007A79B1" w:rsidRPr="00191D29">
        <w:t>p</w:t>
      </w:r>
      <w:r w:rsidR="00A15F94" w:rsidRPr="00191D29">
        <w:t xml:space="preserve">lan for development in Phase III, modifying the </w:t>
      </w:r>
      <w:r w:rsidR="00A15F94" w:rsidRPr="00191D29">
        <w:rPr>
          <w:rFonts w:cs="Arial"/>
          <w:szCs w:val="22"/>
        </w:rPr>
        <w:t>IMSF&amp;R</w:t>
      </w:r>
      <w:r w:rsidR="00A15F94" w:rsidRPr="00191D29">
        <w:rPr>
          <w:rFonts w:cs="Arial"/>
          <w:b/>
          <w:bCs/>
          <w:szCs w:val="22"/>
        </w:rPr>
        <w:t xml:space="preserve"> </w:t>
      </w:r>
      <w:r w:rsidR="00A15F94" w:rsidRPr="00191D29">
        <w:t>proposal originally set out in document ISWG-GHG 12/3/9 (Argentina et al.) whilst also taking account of similar proposals contained in documents MEPC 78/7/5 and ISWG-GHG 12/3/17 (both by Japan) for a “feebate” system, and document MEPC 76/7/12 (Marshall Islands and Solomon Islands) which also proposed a flat rate contribution system using a contribution mechanism similar to that proposed for what was then called the I</w:t>
      </w:r>
      <w:r w:rsidR="006A4C6E" w:rsidRPr="00191D29">
        <w:t xml:space="preserve">nternational </w:t>
      </w:r>
      <w:r w:rsidR="00A15F94" w:rsidRPr="00191D29">
        <w:t>M</w:t>
      </w:r>
      <w:r w:rsidR="006A4C6E" w:rsidRPr="00191D29">
        <w:t xml:space="preserve">aritime </w:t>
      </w:r>
      <w:r w:rsidR="00A15F94" w:rsidRPr="00191D29">
        <w:t>R</w:t>
      </w:r>
      <w:r w:rsidR="006A4C6E" w:rsidRPr="00191D29">
        <w:t xml:space="preserve">esearch </w:t>
      </w:r>
      <w:r w:rsidR="00A15F94" w:rsidRPr="00191D29">
        <w:t>F</w:t>
      </w:r>
      <w:r w:rsidR="006A4C6E" w:rsidRPr="00191D29">
        <w:t>und (IMRF)</w:t>
      </w:r>
      <w:r w:rsidR="00A15F94" w:rsidRPr="00191D29">
        <w:t xml:space="preserve"> as set out in document MEPC 76/7/7 (Denmark et al.).  </w:t>
      </w:r>
    </w:p>
    <w:p w14:paraId="70751657" w14:textId="77777777" w:rsidR="00A15F94" w:rsidRPr="00191D29" w:rsidRDefault="00A15F94" w:rsidP="00E968F2">
      <w:pPr>
        <w:tabs>
          <w:tab w:val="clear" w:pos="851"/>
        </w:tabs>
      </w:pPr>
    </w:p>
    <w:p w14:paraId="3DA206BC" w14:textId="24B265A0" w:rsidR="00F35530" w:rsidRPr="00191D29" w:rsidRDefault="008C0E66" w:rsidP="003E56AA">
      <w:r w:rsidRPr="00191D29">
        <w:t>1</w:t>
      </w:r>
      <w:r w:rsidR="00314DF7" w:rsidRPr="00191D29">
        <w:t>7</w:t>
      </w:r>
      <w:r w:rsidRPr="00191D29">
        <w:tab/>
      </w:r>
      <w:r w:rsidR="00981B20" w:rsidRPr="00191D29">
        <w:t xml:space="preserve">In </w:t>
      </w:r>
      <w:r w:rsidR="00E968F2" w:rsidRPr="00191D29">
        <w:t xml:space="preserve">document ISWG-GHG 14/3, </w:t>
      </w:r>
      <w:r w:rsidR="00561A95" w:rsidRPr="00191D29">
        <w:t xml:space="preserve">ICS submitted </w:t>
      </w:r>
      <w:r w:rsidR="00E968F2" w:rsidRPr="00191D29">
        <w:t>a detailed proposal</w:t>
      </w:r>
      <w:r w:rsidR="00EF5223" w:rsidRPr="00191D29">
        <w:t xml:space="preserve">, with </w:t>
      </w:r>
      <w:r w:rsidR="00822D20" w:rsidRPr="00191D29">
        <w:t xml:space="preserve">possible </w:t>
      </w:r>
      <w:r w:rsidR="00561A95" w:rsidRPr="00191D29">
        <w:t xml:space="preserve">draft </w:t>
      </w:r>
      <w:r w:rsidR="00EF5223" w:rsidRPr="00191D29">
        <w:t>regulatory text</w:t>
      </w:r>
      <w:r w:rsidR="00883854" w:rsidRPr="00191D29">
        <w:t>,</w:t>
      </w:r>
      <w:r w:rsidR="00165A39" w:rsidRPr="00191D29">
        <w:t xml:space="preserve"> </w:t>
      </w:r>
      <w:r w:rsidR="00E968F2" w:rsidRPr="00191D29">
        <w:t xml:space="preserve">for a Fund and Reward (Feebate) mechanism with the purpose of accelerating the production and uptake by international shipping of what the 2023 IMO GHG Strategy now describes as zero and near-zero GHG fuels. </w:t>
      </w:r>
      <w:r w:rsidR="008E4ABB" w:rsidRPr="00191D29">
        <w:t>In order to provide certainty</w:t>
      </w:r>
      <w:r w:rsidR="00561366" w:rsidRPr="00191D29">
        <w:t xml:space="preserve"> to Member States about the economic impact</w:t>
      </w:r>
      <w:r w:rsidR="004673D2" w:rsidRPr="00191D29">
        <w:t xml:space="preserve">s, as well as certainty to </w:t>
      </w:r>
      <w:r w:rsidR="00426E52" w:rsidRPr="00191D29">
        <w:t xml:space="preserve">energy producers and </w:t>
      </w:r>
      <w:r w:rsidR="006051DC" w:rsidRPr="00191D29">
        <w:t xml:space="preserve">shipping companies </w:t>
      </w:r>
      <w:r w:rsidR="004673D2" w:rsidRPr="00191D29">
        <w:t xml:space="preserve">making investment decisions with respect to the use of zero/near-zero GHG fuels, </w:t>
      </w:r>
      <w:r w:rsidR="00A36BAA" w:rsidRPr="00191D29">
        <w:t xml:space="preserve">it </w:t>
      </w:r>
      <w:r w:rsidR="00D936F6" w:rsidRPr="00191D29">
        <w:t>was</w:t>
      </w:r>
      <w:r w:rsidR="00A36BAA" w:rsidRPr="00191D29">
        <w:t xml:space="preserve"> proposed that </w:t>
      </w:r>
      <w:r w:rsidR="004673D2" w:rsidRPr="00191D29">
        <w:t>t</w:t>
      </w:r>
      <w:r w:rsidR="00EF1617" w:rsidRPr="00191D29">
        <w:t xml:space="preserve">he mechanism </w:t>
      </w:r>
      <w:r w:rsidR="003D46F9" w:rsidRPr="00191D29">
        <w:t>should</w:t>
      </w:r>
      <w:r w:rsidR="00CC062D" w:rsidRPr="00191D29">
        <w:t xml:space="preserve"> use a </w:t>
      </w:r>
      <w:r w:rsidR="00A940D9" w:rsidRPr="00191D29">
        <w:t xml:space="preserve">relatively </w:t>
      </w:r>
      <w:r w:rsidR="008E4ABB" w:rsidRPr="00191D29">
        <w:t xml:space="preserve">simple </w:t>
      </w:r>
      <w:r w:rsidR="00CC062D" w:rsidRPr="00191D29">
        <w:t xml:space="preserve">flat rate (“levy-based”) </w:t>
      </w:r>
      <w:r w:rsidR="00DF6573" w:rsidRPr="00191D29">
        <w:t>contribution system with ships making mand</w:t>
      </w:r>
      <w:r w:rsidR="0007024A" w:rsidRPr="00191D29">
        <w:t xml:space="preserve">atory contributions per tonne of </w:t>
      </w:r>
      <w:r w:rsidR="006E1A56" w:rsidRPr="00191D29">
        <w:t>(CO</w:t>
      </w:r>
      <w:r w:rsidR="006E1A56" w:rsidRPr="00191D29">
        <w:rPr>
          <w:vertAlign w:val="subscript"/>
        </w:rPr>
        <w:t>2</w:t>
      </w:r>
      <w:r w:rsidR="006E1A56" w:rsidRPr="00191D29">
        <w:t xml:space="preserve">e) </w:t>
      </w:r>
      <w:r w:rsidR="0007024A" w:rsidRPr="00191D29">
        <w:t>emission</w:t>
      </w:r>
      <w:r w:rsidR="006E1A56" w:rsidRPr="00191D29">
        <w:t>s</w:t>
      </w:r>
      <w:r w:rsidR="0007024A" w:rsidRPr="00191D29">
        <w:t xml:space="preserve"> </w:t>
      </w:r>
      <w:r w:rsidR="00E11736" w:rsidRPr="00191D29">
        <w:t>to an IMO fund</w:t>
      </w:r>
      <w:r w:rsidR="0060581C" w:rsidRPr="00191D29">
        <w:t xml:space="preserve">. </w:t>
      </w:r>
      <w:r w:rsidR="00E1189E" w:rsidRPr="00191D29">
        <w:t xml:space="preserve">Detailed information </w:t>
      </w:r>
      <w:r w:rsidR="00B860E8" w:rsidRPr="00191D29">
        <w:t>was provided about</w:t>
      </w:r>
      <w:r w:rsidR="00D83E8D" w:rsidRPr="00191D29">
        <w:t xml:space="preserve"> </w:t>
      </w:r>
      <w:r w:rsidR="00616A66" w:rsidRPr="00191D29">
        <w:t>feasib</w:t>
      </w:r>
      <w:r w:rsidR="009B64D4" w:rsidRPr="00191D29">
        <w:t xml:space="preserve">ility, </w:t>
      </w:r>
      <w:r w:rsidR="00616A66" w:rsidRPr="00191D29">
        <w:t xml:space="preserve">effectiveness </w:t>
      </w:r>
      <w:r w:rsidR="000512B9" w:rsidRPr="00191D29">
        <w:t xml:space="preserve">to deliver the long-term levels of ambition of </w:t>
      </w:r>
      <w:r w:rsidR="009B64D4" w:rsidRPr="00191D29">
        <w:t xml:space="preserve">(what was then) </w:t>
      </w:r>
      <w:r w:rsidR="000512B9" w:rsidRPr="00191D29">
        <w:t xml:space="preserve">the Initial </w:t>
      </w:r>
      <w:r w:rsidR="00E55D12" w:rsidRPr="00191D29">
        <w:t xml:space="preserve">GHG </w:t>
      </w:r>
      <w:r w:rsidR="000512B9" w:rsidRPr="00191D29">
        <w:t>Strategy</w:t>
      </w:r>
      <w:r w:rsidR="009B64D4" w:rsidRPr="00191D29">
        <w:t xml:space="preserve">, and </w:t>
      </w:r>
      <w:r w:rsidR="007648F7" w:rsidRPr="00191D29">
        <w:t xml:space="preserve">about </w:t>
      </w:r>
      <w:r w:rsidR="009B64D4" w:rsidRPr="00191D29">
        <w:t xml:space="preserve">the </w:t>
      </w:r>
      <w:r w:rsidR="00DA0767" w:rsidRPr="00191D29">
        <w:t xml:space="preserve">potential </w:t>
      </w:r>
      <w:r w:rsidR="009B64D4" w:rsidRPr="00191D29">
        <w:t>impact on States</w:t>
      </w:r>
      <w:r w:rsidR="00272C05" w:rsidRPr="00191D29">
        <w:t xml:space="preserve">. </w:t>
      </w:r>
      <w:r w:rsidR="00FA0763" w:rsidRPr="00191D29">
        <w:t xml:space="preserve">Additional information was provided in document </w:t>
      </w:r>
      <w:r w:rsidR="00B962E4" w:rsidRPr="00191D29">
        <w:br/>
      </w:r>
      <w:r w:rsidR="00FA0763" w:rsidRPr="00191D29">
        <w:t xml:space="preserve">ISWG-GHG </w:t>
      </w:r>
      <w:r w:rsidR="007326A5" w:rsidRPr="00191D29">
        <w:t>15/3/8</w:t>
      </w:r>
      <w:r w:rsidR="00082751" w:rsidRPr="00191D29">
        <w:t xml:space="preserve"> (ICS).</w:t>
      </w:r>
      <w:r w:rsidR="007326A5" w:rsidRPr="00191D29">
        <w:t xml:space="preserve"> </w:t>
      </w:r>
      <w:r w:rsidR="00822D20" w:rsidRPr="00191D29">
        <w:t xml:space="preserve">This </w:t>
      </w:r>
      <w:r w:rsidR="00C23F55" w:rsidRPr="00191D29">
        <w:t xml:space="preserve">proposal </w:t>
      </w:r>
      <w:r w:rsidR="00CF590D" w:rsidRPr="00191D29">
        <w:t xml:space="preserve">was </w:t>
      </w:r>
      <w:r w:rsidR="003A45A4" w:rsidRPr="00191D29">
        <w:t xml:space="preserve">then </w:t>
      </w:r>
      <w:r w:rsidR="00CF590D" w:rsidRPr="00191D29">
        <w:t xml:space="preserve">elaborated on further </w:t>
      </w:r>
      <w:r w:rsidR="000D34BB" w:rsidRPr="00191D29">
        <w:t xml:space="preserve">in </w:t>
      </w:r>
      <w:r w:rsidR="001C63A2" w:rsidRPr="00191D29">
        <w:t xml:space="preserve">the </w:t>
      </w:r>
      <w:r w:rsidR="005E3650" w:rsidRPr="00191D29">
        <w:t>factsheet</w:t>
      </w:r>
      <w:r w:rsidR="00FA511A" w:rsidRPr="00191D29">
        <w:t xml:space="preserve"> </w:t>
      </w:r>
      <w:r w:rsidR="005E3650" w:rsidRPr="00191D29">
        <w:t xml:space="preserve">ICS submitted to </w:t>
      </w:r>
      <w:r w:rsidR="00F717E7" w:rsidRPr="00191D29">
        <w:t xml:space="preserve">the ad-hoc Expert Workshop on comparative analysis of candidate mid-term GHG reduction measures (GHG-EW 3) </w:t>
      </w:r>
      <w:r w:rsidR="00AD048D" w:rsidRPr="00191D29">
        <w:t>(</w:t>
      </w:r>
      <w:r w:rsidR="0017192D" w:rsidRPr="00191D29">
        <w:t>M</w:t>
      </w:r>
      <w:r w:rsidR="00C657AF" w:rsidRPr="00191D29">
        <w:t>EPC 80</w:t>
      </w:r>
      <w:r w:rsidR="00822D20" w:rsidRPr="00191D29">
        <w:t>/</w:t>
      </w:r>
      <w:r w:rsidR="00C657AF" w:rsidRPr="00191D29">
        <w:t>INF</w:t>
      </w:r>
      <w:r w:rsidR="002A4A89" w:rsidRPr="00191D29">
        <w:t>.</w:t>
      </w:r>
      <w:r w:rsidR="00C657AF" w:rsidRPr="00191D29">
        <w:t>39</w:t>
      </w:r>
      <w:r w:rsidR="00AD048D" w:rsidRPr="00191D29">
        <w:t>, annex, page 34)</w:t>
      </w:r>
      <w:r w:rsidR="00926E69" w:rsidRPr="00191D29">
        <w:t>.</w:t>
      </w:r>
      <w:r w:rsidR="00953DD0" w:rsidRPr="00191D29">
        <w:t xml:space="preserve"> </w:t>
      </w:r>
      <w:r w:rsidR="00453556" w:rsidRPr="00191D29">
        <w:t xml:space="preserve"> </w:t>
      </w:r>
    </w:p>
    <w:p w14:paraId="0B963EFF" w14:textId="77777777" w:rsidR="00F35530" w:rsidRPr="00191D29" w:rsidRDefault="00F35530" w:rsidP="003E56AA"/>
    <w:p w14:paraId="4A994644" w14:textId="60152333" w:rsidR="00E968F2" w:rsidRPr="00191D29" w:rsidRDefault="00F35530" w:rsidP="003E56AA">
      <w:r w:rsidRPr="00191D29">
        <w:t>1</w:t>
      </w:r>
      <w:r w:rsidR="00314DF7" w:rsidRPr="00191D29">
        <w:t>8</w:t>
      </w:r>
      <w:r w:rsidRPr="00191D29">
        <w:tab/>
      </w:r>
      <w:r w:rsidR="00B962E4" w:rsidRPr="00191D29">
        <w:t xml:space="preserve">The </w:t>
      </w:r>
      <w:r w:rsidR="00671EC5" w:rsidRPr="00191D29">
        <w:t xml:space="preserve">ICS </w:t>
      </w:r>
      <w:r w:rsidR="00953DD0" w:rsidRPr="00191D29">
        <w:t xml:space="preserve">proposal was supported </w:t>
      </w:r>
      <w:r w:rsidR="00136596" w:rsidRPr="00191D29">
        <w:t>by a detailed initial impact assessment</w:t>
      </w:r>
      <w:r w:rsidR="00371E89" w:rsidRPr="00191D29">
        <w:t xml:space="preserve"> </w:t>
      </w:r>
      <w:r w:rsidR="00136596" w:rsidRPr="00191D29">
        <w:t xml:space="preserve">which </w:t>
      </w:r>
      <w:r w:rsidR="00295C7F" w:rsidRPr="00191D29">
        <w:t xml:space="preserve">analysed the </w:t>
      </w:r>
      <w:r w:rsidR="00F86D5D" w:rsidRPr="00191D29">
        <w:t xml:space="preserve">economic impact </w:t>
      </w:r>
      <w:r w:rsidR="00871AC5" w:rsidRPr="00191D29">
        <w:t xml:space="preserve">on States </w:t>
      </w:r>
      <w:r w:rsidR="00F86D5D" w:rsidRPr="00191D29">
        <w:t xml:space="preserve">of </w:t>
      </w:r>
      <w:r w:rsidR="00991498" w:rsidRPr="00191D29">
        <w:t xml:space="preserve">a </w:t>
      </w:r>
      <w:r w:rsidR="00F86D5D" w:rsidRPr="00191D29">
        <w:t>range of contribution quanta</w:t>
      </w:r>
      <w:r w:rsidR="00C00079" w:rsidRPr="00191D29">
        <w:t xml:space="preserve"> </w:t>
      </w:r>
      <w:r w:rsidR="00371E89" w:rsidRPr="00191D29">
        <w:t xml:space="preserve">and </w:t>
      </w:r>
      <w:r w:rsidR="00C00079" w:rsidRPr="00191D29">
        <w:t xml:space="preserve">concluded that </w:t>
      </w:r>
      <w:r w:rsidR="00991498" w:rsidRPr="00191D29">
        <w:t xml:space="preserve">the </w:t>
      </w:r>
      <w:r w:rsidR="00C00079" w:rsidRPr="00191D29">
        <w:t xml:space="preserve">economic impacts </w:t>
      </w:r>
      <w:r w:rsidR="00991498" w:rsidRPr="00191D29">
        <w:t xml:space="preserve">on States </w:t>
      </w:r>
      <w:r w:rsidR="00C00079" w:rsidRPr="00191D29">
        <w:t xml:space="preserve">would </w:t>
      </w:r>
      <w:r w:rsidR="00356261" w:rsidRPr="00191D29">
        <w:t>be unlikely to be disproportionately negative</w:t>
      </w:r>
      <w:r w:rsidR="00B962E4" w:rsidRPr="00191D29">
        <w:t xml:space="preserve"> </w:t>
      </w:r>
      <w:r w:rsidR="00B962E4" w:rsidRPr="00191D29">
        <w:br/>
        <w:t>(ISWG-GHG 12/3/8)</w:t>
      </w:r>
      <w:r w:rsidR="00356261" w:rsidRPr="00191D29">
        <w:t>.</w:t>
      </w:r>
      <w:r w:rsidR="00F86D5D" w:rsidRPr="00191D29">
        <w:t xml:space="preserve"> </w:t>
      </w:r>
      <w:r w:rsidR="00EA7E17" w:rsidRPr="00191D29">
        <w:t>This impact assessment has</w:t>
      </w:r>
      <w:r w:rsidR="00200CA3" w:rsidRPr="00191D29">
        <w:t xml:space="preserve"> since</w:t>
      </w:r>
      <w:r w:rsidR="00EA7E17" w:rsidRPr="00191D29">
        <w:t xml:space="preserve"> been updated</w:t>
      </w:r>
      <w:r w:rsidR="00B962E4" w:rsidRPr="00191D29">
        <w:t xml:space="preserve"> and is set out in</w:t>
      </w:r>
      <w:r w:rsidR="000F41C6" w:rsidRPr="00191D29">
        <w:t xml:space="preserve"> document ISWG-GHG 16/2/</w:t>
      </w:r>
      <w:r w:rsidR="0007655D">
        <w:t>2</w:t>
      </w:r>
      <w:r w:rsidR="005528F9">
        <w:t xml:space="preserve"> (ICS).</w:t>
      </w:r>
    </w:p>
    <w:p w14:paraId="2ABB3E59" w14:textId="653A6CCD" w:rsidR="00343492" w:rsidRPr="00191D29" w:rsidRDefault="002D6321" w:rsidP="00343492">
      <w:pPr>
        <w:tabs>
          <w:tab w:val="clear" w:pos="851"/>
        </w:tabs>
        <w:spacing w:before="240"/>
      </w:pPr>
      <w:r w:rsidRPr="00191D29">
        <w:t>1</w:t>
      </w:r>
      <w:r w:rsidR="00200477" w:rsidRPr="00191D29">
        <w:t>9</w:t>
      </w:r>
      <w:r w:rsidR="00922735" w:rsidRPr="00191D29">
        <w:tab/>
      </w:r>
      <w:r w:rsidR="001C4023" w:rsidRPr="00191D29">
        <w:t>At recent sessions of the Group</w:t>
      </w:r>
      <w:r w:rsidR="00B950C8" w:rsidRPr="00191D29">
        <w:t xml:space="preserve"> and the Committee, </w:t>
      </w:r>
      <w:r w:rsidR="00343492" w:rsidRPr="00191D29">
        <w:t xml:space="preserve">many delegations </w:t>
      </w:r>
      <w:r w:rsidR="00C043DF" w:rsidRPr="00191D29">
        <w:t>h</w:t>
      </w:r>
      <w:r w:rsidR="00922735" w:rsidRPr="00191D29">
        <w:t>a</w:t>
      </w:r>
      <w:r w:rsidR="00C043DF" w:rsidRPr="00191D29">
        <w:t xml:space="preserve">ve </w:t>
      </w:r>
      <w:r w:rsidR="00343492" w:rsidRPr="00191D29">
        <w:t>supported a "levy", "reward", "feebate" or "flat rate contribution" approach as an economic measure to regulate GHG emissions from shipping</w:t>
      </w:r>
      <w:r w:rsidR="008035DE" w:rsidRPr="00191D29">
        <w:t>.</w:t>
      </w:r>
      <w:r w:rsidR="00C043DF" w:rsidRPr="00191D29">
        <w:t xml:space="preserve"> </w:t>
      </w:r>
      <w:r w:rsidR="00343492" w:rsidRPr="00191D29">
        <w:t xml:space="preserve"> Several delegations </w:t>
      </w:r>
      <w:r w:rsidR="00C043DF" w:rsidRPr="00191D29">
        <w:t xml:space="preserve">have </w:t>
      </w:r>
      <w:r w:rsidR="00343492" w:rsidRPr="00191D29">
        <w:t>referred to the wide support of the shipping industry for this type of approach, in terms of simplicity, predictability, easiness to set</w:t>
      </w:r>
      <w:r w:rsidR="00790324" w:rsidRPr="00191D29">
        <w:t xml:space="preserve"> </w:t>
      </w:r>
      <w:r w:rsidR="00343492" w:rsidRPr="00191D29">
        <w:t>up and administer, and transparency</w:t>
      </w:r>
      <w:r w:rsidR="00EE0B25" w:rsidRPr="00191D29">
        <w:t>. S</w:t>
      </w:r>
      <w:r w:rsidR="00343492" w:rsidRPr="00191D29">
        <w:t xml:space="preserve">everal delegations </w:t>
      </w:r>
      <w:r w:rsidR="00EE0B25" w:rsidRPr="00191D29">
        <w:t xml:space="preserve">have </w:t>
      </w:r>
      <w:r w:rsidR="00343492" w:rsidRPr="00191D29">
        <w:t>expressed the view that in the early phases of implementation the level of the contribution might be relatively low and could be increased in ratchets</w:t>
      </w:r>
      <w:r w:rsidR="005629B7" w:rsidRPr="00191D29">
        <w:t>, every 5 years,</w:t>
      </w:r>
      <w:r w:rsidR="00343492" w:rsidRPr="00191D29">
        <w:t xml:space="preserve"> as alternative fuels </w:t>
      </w:r>
      <w:r w:rsidR="00343492" w:rsidRPr="00191D29">
        <w:lastRenderedPageBreak/>
        <w:t xml:space="preserve">become available. Several delegations </w:t>
      </w:r>
      <w:r w:rsidR="008035DE" w:rsidRPr="00191D29">
        <w:t xml:space="preserve">have </w:t>
      </w:r>
      <w:r w:rsidR="00343492" w:rsidRPr="00191D29">
        <w:t xml:space="preserve">also mentioned that the structure of the </w:t>
      </w:r>
      <w:r w:rsidR="008D5DFC" w:rsidRPr="00191D29">
        <w:t>IMRF</w:t>
      </w:r>
      <w:r w:rsidR="00D90F1A" w:rsidRPr="00191D29">
        <w:t xml:space="preserve"> as set out in d</w:t>
      </w:r>
      <w:r w:rsidR="00D62B39" w:rsidRPr="00191D29">
        <w:t xml:space="preserve">ocument MEPC 76/7/7 </w:t>
      </w:r>
      <w:r w:rsidR="00343492" w:rsidRPr="00191D29">
        <w:t xml:space="preserve">could be used to facilitate the development of a "levy", "reward", "feebate" or "flat rate contribution" </w:t>
      </w:r>
      <w:r w:rsidR="007538B8" w:rsidRPr="00191D29">
        <w:t>approach.</w:t>
      </w:r>
      <w:r w:rsidR="000558CF" w:rsidRPr="00191D29">
        <w:t xml:space="preserve">  </w:t>
      </w:r>
      <w:r w:rsidR="00343492" w:rsidRPr="00191D29">
        <w:t xml:space="preserve">The co-sponsors of document </w:t>
      </w:r>
      <w:r w:rsidR="00CF7702" w:rsidRPr="00191D29">
        <w:t>ISWG</w:t>
      </w:r>
      <w:r w:rsidR="00343492" w:rsidRPr="00191D29">
        <w:t xml:space="preserve">-GHG 13/4/8 (Austria et al.) also indicated that they </w:t>
      </w:r>
      <w:r w:rsidR="00542D3E" w:rsidRPr="00191D29">
        <w:t>can</w:t>
      </w:r>
      <w:r w:rsidR="00343492" w:rsidRPr="00191D29">
        <w:t xml:space="preserve"> accept a flat rate (</w:t>
      </w:r>
      <w:r w:rsidR="00055214" w:rsidRPr="00191D29">
        <w:t>“</w:t>
      </w:r>
      <w:r w:rsidR="00343492" w:rsidRPr="00191D29">
        <w:t>levy-based</w:t>
      </w:r>
      <w:r w:rsidR="00055214" w:rsidRPr="00191D29">
        <w:t>”</w:t>
      </w:r>
      <w:r w:rsidR="00343492" w:rsidRPr="00191D29">
        <w:t xml:space="preserve">) contribution system provided this </w:t>
      </w:r>
      <w:r w:rsidR="00AE2025" w:rsidRPr="00191D29">
        <w:t xml:space="preserve">is </w:t>
      </w:r>
      <w:r w:rsidR="00343492" w:rsidRPr="00191D29">
        <w:t xml:space="preserve">complemented by a technical measure such as a </w:t>
      </w:r>
      <w:r w:rsidR="001E2E29" w:rsidRPr="00191D29">
        <w:t>G</w:t>
      </w:r>
      <w:r w:rsidR="00343492" w:rsidRPr="00191D29">
        <w:t xml:space="preserve">lobal </w:t>
      </w:r>
      <w:r w:rsidR="001E2E29" w:rsidRPr="00191D29">
        <w:t xml:space="preserve">(GHG) </w:t>
      </w:r>
      <w:r w:rsidR="00987E65" w:rsidRPr="00191D29">
        <w:t>F</w:t>
      </w:r>
      <w:r w:rsidR="002D1A6B" w:rsidRPr="00191D29">
        <w:t xml:space="preserve">uel </w:t>
      </w:r>
      <w:r w:rsidR="001E2E29" w:rsidRPr="00191D29">
        <w:t>S</w:t>
      </w:r>
      <w:r w:rsidR="00343492" w:rsidRPr="00191D29">
        <w:t>tandard. Taken together with other comments made at</w:t>
      </w:r>
      <w:r w:rsidR="00216CA4" w:rsidRPr="00191D29">
        <w:t xml:space="preserve"> recent sessions of the Group</w:t>
      </w:r>
      <w:r w:rsidR="00AE2025" w:rsidRPr="00191D29">
        <w:t xml:space="preserve"> and the Committee, </w:t>
      </w:r>
      <w:r w:rsidR="00343492" w:rsidRPr="00191D29">
        <w:t>this suggests there is a route to consensus for such an approach to be developed and finalised in Phase III</w:t>
      </w:r>
      <w:r w:rsidR="002105C2" w:rsidRPr="00191D29">
        <w:t xml:space="preserve"> of the Work plan</w:t>
      </w:r>
      <w:r w:rsidR="00343492" w:rsidRPr="00191D29">
        <w:t xml:space="preserve">, and that the Group </w:t>
      </w:r>
      <w:r w:rsidR="002105C2" w:rsidRPr="00191D29">
        <w:t>should</w:t>
      </w:r>
      <w:r w:rsidR="00343492" w:rsidRPr="00191D29">
        <w:t xml:space="preserve"> recommend such an approach to MEPC </w:t>
      </w:r>
      <w:r w:rsidR="00216CA4" w:rsidRPr="00191D29">
        <w:t>81.</w:t>
      </w:r>
    </w:p>
    <w:p w14:paraId="36283CFD" w14:textId="77777777" w:rsidR="000A45AC" w:rsidRPr="00191D29" w:rsidRDefault="000A45AC" w:rsidP="006B337E">
      <w:pPr>
        <w:tabs>
          <w:tab w:val="clear" w:pos="851"/>
        </w:tabs>
        <w:sectPr w:rsidR="000A45AC" w:rsidRPr="00191D29" w:rsidSect="00DF3E2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6" w:h="16838"/>
          <w:pgMar w:top="1440" w:right="1440" w:bottom="1440" w:left="1440" w:header="709" w:footer="709" w:gutter="0"/>
          <w:pgNumType w:start="1"/>
          <w:cols w:space="708"/>
          <w:titlePg/>
          <w:docGrid w:linePitch="360"/>
        </w:sectPr>
      </w:pPr>
    </w:p>
    <w:p w14:paraId="6BE4FBB5" w14:textId="4484CFE4" w:rsidR="00E968F2" w:rsidRPr="00191D29" w:rsidRDefault="00E968F2" w:rsidP="006B337E">
      <w:pPr>
        <w:tabs>
          <w:tab w:val="clear" w:pos="851"/>
        </w:tabs>
      </w:pPr>
    </w:p>
    <w:p w14:paraId="33C336E4" w14:textId="061CD741" w:rsidR="00F40CCB" w:rsidRPr="00191D29" w:rsidRDefault="00200477" w:rsidP="006B337E">
      <w:pPr>
        <w:tabs>
          <w:tab w:val="clear" w:pos="851"/>
        </w:tabs>
      </w:pPr>
      <w:r w:rsidRPr="00191D29">
        <w:t>20</w:t>
      </w:r>
      <w:r w:rsidR="000C2DDF" w:rsidRPr="00191D29">
        <w:tab/>
        <w:t>Taking account of the 2023 IMO GHG Strategy</w:t>
      </w:r>
      <w:r w:rsidR="00A35725" w:rsidRPr="00191D29">
        <w:t>,</w:t>
      </w:r>
      <w:r w:rsidR="00A971A2" w:rsidRPr="00191D29">
        <w:t xml:space="preserve"> </w:t>
      </w:r>
      <w:r w:rsidR="007A568A" w:rsidRPr="00191D29">
        <w:t xml:space="preserve">in particular the </w:t>
      </w:r>
      <w:r w:rsidR="002760D3" w:rsidRPr="00191D29">
        <w:t xml:space="preserve">new </w:t>
      </w:r>
      <w:r w:rsidR="00A25A12" w:rsidRPr="00191D29">
        <w:t xml:space="preserve">goal </w:t>
      </w:r>
      <w:r w:rsidR="002F7AF2" w:rsidRPr="00191D29">
        <w:t>for the uptake of zero</w:t>
      </w:r>
      <w:r w:rsidR="00451493" w:rsidRPr="00191D29">
        <w:t xml:space="preserve"> or </w:t>
      </w:r>
      <w:r w:rsidR="002F7AF2" w:rsidRPr="00191D29">
        <w:t>near</w:t>
      </w:r>
      <w:r w:rsidR="00451493" w:rsidRPr="00191D29">
        <w:t>-</w:t>
      </w:r>
      <w:r w:rsidR="002F7AF2" w:rsidRPr="00191D29">
        <w:t xml:space="preserve">zero </w:t>
      </w:r>
      <w:r w:rsidR="00451493" w:rsidRPr="00191D29">
        <w:t>GHG fuels and</w:t>
      </w:r>
      <w:r w:rsidR="002252D1" w:rsidRPr="00191D29">
        <w:t>/or</w:t>
      </w:r>
      <w:r w:rsidR="00451493" w:rsidRPr="00191D29">
        <w:t xml:space="preserve"> </w:t>
      </w:r>
      <w:r w:rsidR="00676732" w:rsidRPr="00191D29">
        <w:t>energy sources</w:t>
      </w:r>
      <w:r w:rsidR="002760D3" w:rsidRPr="00191D29">
        <w:t xml:space="preserve"> by 2030</w:t>
      </w:r>
      <w:r w:rsidR="000F1C4F" w:rsidRPr="00191D29">
        <w:t>,</w:t>
      </w:r>
      <w:r w:rsidR="00C67F35" w:rsidRPr="00191D29">
        <w:t xml:space="preserve"> </w:t>
      </w:r>
      <w:r w:rsidR="00040EB8" w:rsidRPr="00191D29">
        <w:t>the following document contains a modified proposal for a</w:t>
      </w:r>
      <w:r w:rsidR="000F1C4F" w:rsidRPr="00191D29">
        <w:t xml:space="preserve"> Fund and Reward (Feebate) </w:t>
      </w:r>
      <w:r w:rsidR="00040EB8" w:rsidRPr="00191D29">
        <w:t>mechanism</w:t>
      </w:r>
      <w:r w:rsidR="00250CC5" w:rsidRPr="00191D29">
        <w:t xml:space="preserve"> including</w:t>
      </w:r>
      <w:r w:rsidR="005D32A9" w:rsidRPr="00191D29">
        <w:t xml:space="preserve">, at annex, modified draft amendments to </w:t>
      </w:r>
      <w:r w:rsidR="00B4417A" w:rsidRPr="00191D29">
        <w:t>MARPOL Annex VI</w:t>
      </w:r>
      <w:r w:rsidR="00A23602" w:rsidRPr="00191D29">
        <w:t xml:space="preserve"> </w:t>
      </w:r>
      <w:r w:rsidR="0057065F" w:rsidRPr="00191D29">
        <w:t>which are intend</w:t>
      </w:r>
      <w:r w:rsidR="00A23602" w:rsidRPr="00191D29">
        <w:t>ed</w:t>
      </w:r>
      <w:r w:rsidR="0057065F" w:rsidRPr="00191D29">
        <w:t xml:space="preserve"> to expedite the rapid development</w:t>
      </w:r>
      <w:r w:rsidR="00F73C0A" w:rsidRPr="00191D29">
        <w:t xml:space="preserve"> of </w:t>
      </w:r>
      <w:r w:rsidR="00DD1319" w:rsidRPr="00191D29">
        <w:t xml:space="preserve">a </w:t>
      </w:r>
      <w:r w:rsidR="007B3F97" w:rsidRPr="00191D29">
        <w:t xml:space="preserve">maritime </w:t>
      </w:r>
      <w:r w:rsidR="00397B08" w:rsidRPr="00191D29">
        <w:t xml:space="preserve">GHG pricing mechanism </w:t>
      </w:r>
      <w:r w:rsidR="00F837BE" w:rsidRPr="00191D29">
        <w:t xml:space="preserve">using a flat rate contribution system </w:t>
      </w:r>
      <w:r w:rsidR="00561C05" w:rsidRPr="00191D29">
        <w:t>(</w:t>
      </w:r>
      <w:r w:rsidR="00F73C0A" w:rsidRPr="00191D29">
        <w:t xml:space="preserve">as a complement to </w:t>
      </w:r>
      <w:r w:rsidR="00082C53" w:rsidRPr="00191D29">
        <w:t xml:space="preserve">a </w:t>
      </w:r>
      <w:r w:rsidR="00C6584D" w:rsidRPr="00191D29">
        <w:t>Global GHG Fuel Standard</w:t>
      </w:r>
      <w:r w:rsidR="00561C05" w:rsidRPr="00191D29">
        <w:t xml:space="preserve">) which </w:t>
      </w:r>
      <w:r w:rsidR="00857CA1" w:rsidRPr="00191D29">
        <w:t xml:space="preserve">– with political will – </w:t>
      </w:r>
      <w:r w:rsidR="00561C05" w:rsidRPr="00191D29">
        <w:t xml:space="preserve">can </w:t>
      </w:r>
      <w:r w:rsidR="004A1188" w:rsidRPr="00191D29">
        <w:t>realistically</w:t>
      </w:r>
      <w:r w:rsidR="00561C05" w:rsidRPr="00191D29">
        <w:t xml:space="preserve"> be adopted by 2025</w:t>
      </w:r>
      <w:r w:rsidR="00CF0354" w:rsidRPr="00191D29">
        <w:t>, as required by the 2023 IMO GHG Strategy</w:t>
      </w:r>
      <w:r w:rsidR="00B92DB1" w:rsidRPr="00191D29">
        <w:t>.</w:t>
      </w:r>
      <w:r w:rsidR="004B7E00" w:rsidRPr="00191D29">
        <w:t xml:space="preserve"> </w:t>
      </w:r>
    </w:p>
    <w:p w14:paraId="115B2AD7" w14:textId="77777777" w:rsidR="003408F5" w:rsidRPr="00191D29" w:rsidRDefault="003408F5" w:rsidP="006B337E">
      <w:pPr>
        <w:tabs>
          <w:tab w:val="clear" w:pos="851"/>
        </w:tabs>
      </w:pPr>
    </w:p>
    <w:p w14:paraId="01130797" w14:textId="477F9E7A" w:rsidR="003408F5" w:rsidRPr="00191D29" w:rsidRDefault="00200477" w:rsidP="003408F5">
      <w:pPr>
        <w:tabs>
          <w:tab w:val="clear" w:pos="851"/>
        </w:tabs>
      </w:pPr>
      <w:r w:rsidRPr="00191D29">
        <w:t>21</w:t>
      </w:r>
      <w:r w:rsidR="003408F5" w:rsidRPr="00191D29">
        <w:tab/>
        <w:t xml:space="preserve">This modified proposal also takes account of views expressed by Member States at </w:t>
      </w:r>
      <w:r w:rsidR="006C6EA6" w:rsidRPr="00191D29">
        <w:t>MEPC 80 (MEPC 80/17 and MEPC 80/WP.12)</w:t>
      </w:r>
      <w:r w:rsidR="00363B32" w:rsidRPr="00191D29">
        <w:t>,</w:t>
      </w:r>
      <w:r w:rsidR="006C6EA6" w:rsidRPr="00191D29">
        <w:t xml:space="preserve"> </w:t>
      </w:r>
      <w:r w:rsidR="003408F5" w:rsidRPr="00191D29">
        <w:t>ISWG-GHG 14</w:t>
      </w:r>
      <w:r w:rsidR="006C6EA6" w:rsidRPr="00191D29">
        <w:t xml:space="preserve"> (MEPC 80/WP.6)</w:t>
      </w:r>
      <w:r w:rsidR="003408F5" w:rsidRPr="00191D29">
        <w:t>, ISWG-GHG</w:t>
      </w:r>
      <w:r w:rsidR="00AF268E" w:rsidRPr="00191D29">
        <w:t xml:space="preserve"> </w:t>
      </w:r>
      <w:r w:rsidR="003408F5" w:rsidRPr="00191D29">
        <w:t>15</w:t>
      </w:r>
      <w:r w:rsidR="006C6EA6" w:rsidRPr="00191D29">
        <w:t xml:space="preserve"> (MEPC 80/WP.7)</w:t>
      </w:r>
      <w:r w:rsidR="003408F5" w:rsidRPr="00191D29">
        <w:t xml:space="preserve">, GHG-EW 3 </w:t>
      </w:r>
      <w:r w:rsidR="006C6EA6" w:rsidRPr="00191D29">
        <w:t xml:space="preserve">(MEPC.80/INF.39 and MEPC 80/INF.39/Add.1) </w:t>
      </w:r>
      <w:r w:rsidR="003408F5" w:rsidRPr="00191D29">
        <w:t>and during informal discussions with Administrations since MEPC 80, in particular the Government of Japan which has previously submitted a similar proposal</w:t>
      </w:r>
      <w:r w:rsidR="00077BC1" w:rsidRPr="00191D29">
        <w:t xml:space="preserve"> for a Fund and Reward (Feebate) </w:t>
      </w:r>
      <w:r w:rsidR="00532AAC" w:rsidRPr="00191D29">
        <w:t>mechanism.</w:t>
      </w:r>
      <w:r w:rsidR="00077BC1" w:rsidRPr="00191D29">
        <w:t xml:space="preserve"> </w:t>
      </w:r>
    </w:p>
    <w:p w14:paraId="7497625F" w14:textId="77777777" w:rsidR="000174AE" w:rsidRPr="00191D29" w:rsidRDefault="000174AE" w:rsidP="006B337E">
      <w:pPr>
        <w:tabs>
          <w:tab w:val="clear" w:pos="851"/>
        </w:tabs>
      </w:pPr>
    </w:p>
    <w:p w14:paraId="0DD3CCCF" w14:textId="2321C1AF" w:rsidR="00016B0C" w:rsidRPr="00191D29" w:rsidRDefault="00200477" w:rsidP="00016B0C">
      <w:pPr>
        <w:tabs>
          <w:tab w:val="clear" w:pos="851"/>
        </w:tabs>
      </w:pPr>
      <w:r w:rsidRPr="00191D29">
        <w:t>22</w:t>
      </w:r>
      <w:r w:rsidR="00683672" w:rsidRPr="00191D29">
        <w:tab/>
      </w:r>
      <w:r w:rsidR="00BA4772">
        <w:t xml:space="preserve">The co-sponsors </w:t>
      </w:r>
      <w:r w:rsidR="000174AE" w:rsidRPr="00191D29">
        <w:t xml:space="preserve">reiterate that while </w:t>
      </w:r>
      <w:r w:rsidR="00BA4772">
        <w:t>they</w:t>
      </w:r>
      <w:r w:rsidR="00D70896" w:rsidRPr="00191D29">
        <w:t xml:space="preserve"> support </w:t>
      </w:r>
      <w:r w:rsidR="00CF3AFF" w:rsidRPr="00191D29">
        <w:t xml:space="preserve">a </w:t>
      </w:r>
      <w:r w:rsidR="00D70896" w:rsidRPr="00191D29">
        <w:t xml:space="preserve">Global GHG Fuel Standard </w:t>
      </w:r>
      <w:r w:rsidR="000168DE" w:rsidRPr="00191D29">
        <w:t xml:space="preserve">(GFS) </w:t>
      </w:r>
      <w:r w:rsidR="00D70896" w:rsidRPr="00191D29">
        <w:t>as a technical measure</w:t>
      </w:r>
      <w:r w:rsidR="000168DE" w:rsidRPr="00191D29">
        <w:t xml:space="preserve"> (see </w:t>
      </w:r>
      <w:r w:rsidR="00D64BDE">
        <w:t xml:space="preserve">also </w:t>
      </w:r>
      <w:r w:rsidR="000168DE" w:rsidRPr="00191D29">
        <w:t xml:space="preserve">ICS </w:t>
      </w:r>
      <w:r w:rsidR="00074782" w:rsidRPr="00191D29">
        <w:t xml:space="preserve">and IBIA </w:t>
      </w:r>
      <w:r w:rsidR="000168DE" w:rsidRPr="00191D29">
        <w:t>proposal for a simplified GFS</w:t>
      </w:r>
      <w:r w:rsidR="000A6481" w:rsidRPr="00191D29">
        <w:t xml:space="preserve"> in document ISWG-GHG 16/2</w:t>
      </w:r>
      <w:r w:rsidR="00D76A0E" w:rsidRPr="00191D29">
        <w:t xml:space="preserve">), a separate </w:t>
      </w:r>
      <w:r w:rsidR="001F0754" w:rsidRPr="00191D29">
        <w:t xml:space="preserve">maritime </w:t>
      </w:r>
      <w:r w:rsidR="00D76A0E" w:rsidRPr="00191D29">
        <w:t xml:space="preserve">GHG pricing mechanism using a flat rate </w:t>
      </w:r>
      <w:r w:rsidR="00662EB0" w:rsidRPr="00191D29">
        <w:t>contribution system</w:t>
      </w:r>
      <w:r w:rsidR="00D32379" w:rsidRPr="00191D29">
        <w:t>,</w:t>
      </w:r>
      <w:r w:rsidR="00683672" w:rsidRPr="00191D29">
        <w:t xml:space="preserve"> </w:t>
      </w:r>
      <w:r w:rsidR="00D32379" w:rsidRPr="00191D29">
        <w:t>per tonne of CO</w:t>
      </w:r>
      <w:r w:rsidR="00D32379" w:rsidRPr="00191D29">
        <w:rPr>
          <w:vertAlign w:val="subscript"/>
        </w:rPr>
        <w:t>2</w:t>
      </w:r>
      <w:r w:rsidR="00D32379" w:rsidRPr="00191D29">
        <w:t>e emitted</w:t>
      </w:r>
      <w:r w:rsidR="007A6BD5" w:rsidRPr="00191D29">
        <w:t xml:space="preserve"> by ships</w:t>
      </w:r>
      <w:r w:rsidR="00D32379" w:rsidRPr="00191D29">
        <w:t xml:space="preserve">, </w:t>
      </w:r>
      <w:r w:rsidR="00683672" w:rsidRPr="00191D29">
        <w:t xml:space="preserve">will be </w:t>
      </w:r>
      <w:r w:rsidR="000E74EB" w:rsidRPr="00191D29">
        <w:t>vital</w:t>
      </w:r>
      <w:r w:rsidR="00683672" w:rsidRPr="00191D29">
        <w:t xml:space="preserve"> </w:t>
      </w:r>
      <w:r w:rsidR="000E74EB" w:rsidRPr="00191D29">
        <w:t xml:space="preserve">if </w:t>
      </w:r>
      <w:r w:rsidR="00683672" w:rsidRPr="00191D29">
        <w:t xml:space="preserve">the </w:t>
      </w:r>
      <w:r w:rsidR="006C3867" w:rsidRPr="00191D29">
        <w:t xml:space="preserve">objective of </w:t>
      </w:r>
      <w:r w:rsidR="00683672" w:rsidRPr="00191D29">
        <w:t>achiev</w:t>
      </w:r>
      <w:r w:rsidR="006C3867" w:rsidRPr="00191D29">
        <w:t>ing</w:t>
      </w:r>
      <w:r w:rsidR="00683672" w:rsidRPr="00191D29">
        <w:t xml:space="preserve"> net zero</w:t>
      </w:r>
      <w:r w:rsidR="00AF0837" w:rsidRPr="00191D29">
        <w:t xml:space="preserve"> </w:t>
      </w:r>
      <w:r w:rsidR="006C3867" w:rsidRPr="00191D29">
        <w:t xml:space="preserve">GHG emissions </w:t>
      </w:r>
      <w:r w:rsidR="00987DEE" w:rsidRPr="00191D29">
        <w:t>by</w:t>
      </w:r>
      <w:r w:rsidR="00FB4507" w:rsidRPr="00191D29">
        <w:t>,</w:t>
      </w:r>
      <w:r w:rsidR="00987DEE" w:rsidRPr="00191D29">
        <w:t xml:space="preserve"> or close </w:t>
      </w:r>
      <w:r w:rsidR="00CF3AFF" w:rsidRPr="00191D29">
        <w:t>to</w:t>
      </w:r>
      <w:r w:rsidR="00FB4507" w:rsidRPr="00191D29">
        <w:t>,</w:t>
      </w:r>
      <w:r w:rsidR="00CF3AFF" w:rsidRPr="00191D29">
        <w:t xml:space="preserve"> </w:t>
      </w:r>
      <w:r w:rsidR="00987DEE" w:rsidRPr="00191D29">
        <w:t xml:space="preserve">2050 is to remain </w:t>
      </w:r>
      <w:r w:rsidR="00F353CA" w:rsidRPr="00191D29">
        <w:t xml:space="preserve">feasible and </w:t>
      </w:r>
      <w:r w:rsidR="00987DEE" w:rsidRPr="00191D29">
        <w:t>plausible</w:t>
      </w:r>
      <w:r w:rsidR="00362C17" w:rsidRPr="00191D29">
        <w:t xml:space="preserve">. </w:t>
      </w:r>
    </w:p>
    <w:p w14:paraId="4ABC546A" w14:textId="77777777" w:rsidR="00FA6F89" w:rsidRPr="00191D29" w:rsidRDefault="00FA6F89" w:rsidP="00016B0C">
      <w:pPr>
        <w:tabs>
          <w:tab w:val="clear" w:pos="851"/>
        </w:tabs>
      </w:pPr>
    </w:p>
    <w:p w14:paraId="07064A4F" w14:textId="4FE6B484" w:rsidR="00AE7CEA" w:rsidRPr="00191D29" w:rsidRDefault="00200477" w:rsidP="006B337E">
      <w:pPr>
        <w:tabs>
          <w:tab w:val="clear" w:pos="851"/>
        </w:tabs>
      </w:pPr>
      <w:r w:rsidRPr="00191D29">
        <w:t>23</w:t>
      </w:r>
      <w:r w:rsidR="00DB012A" w:rsidRPr="00191D29">
        <w:tab/>
      </w:r>
      <w:r w:rsidR="00362C17" w:rsidRPr="00191D29">
        <w:t xml:space="preserve">While </w:t>
      </w:r>
      <w:r w:rsidR="006458CB" w:rsidRPr="00191D29">
        <w:t xml:space="preserve">a </w:t>
      </w:r>
      <w:r w:rsidR="00E03D09" w:rsidRPr="00191D29">
        <w:t xml:space="preserve">Global </w:t>
      </w:r>
      <w:r w:rsidR="00E52670" w:rsidRPr="00191D29">
        <w:t xml:space="preserve">GHG </w:t>
      </w:r>
      <w:r w:rsidR="00E03D09" w:rsidRPr="00191D29">
        <w:t>F</w:t>
      </w:r>
      <w:r w:rsidR="00362C17" w:rsidRPr="00191D29">
        <w:t xml:space="preserve">uel </w:t>
      </w:r>
      <w:r w:rsidR="00E03D09" w:rsidRPr="00191D29">
        <w:t>S</w:t>
      </w:r>
      <w:r w:rsidR="00362C17" w:rsidRPr="00191D29">
        <w:t>tandard</w:t>
      </w:r>
      <w:r w:rsidR="00646786">
        <w:t>,</w:t>
      </w:r>
      <w:r w:rsidR="00D330EE" w:rsidRPr="00191D29">
        <w:t xml:space="preserve"> and the required reduction of the </w:t>
      </w:r>
      <w:r w:rsidR="008E69CF" w:rsidRPr="00191D29">
        <w:t xml:space="preserve">GHG intensity of </w:t>
      </w:r>
      <w:r w:rsidR="0062674B" w:rsidRPr="00191D29">
        <w:t xml:space="preserve">marine </w:t>
      </w:r>
      <w:r w:rsidR="008E69CF" w:rsidRPr="00191D29">
        <w:t xml:space="preserve">fuels which </w:t>
      </w:r>
      <w:r w:rsidR="00102E4E" w:rsidRPr="00191D29">
        <w:t xml:space="preserve">may be agreed </w:t>
      </w:r>
      <w:r w:rsidR="00362C17" w:rsidRPr="00191D29">
        <w:t>for 2030</w:t>
      </w:r>
      <w:r w:rsidR="00646786">
        <w:t>,</w:t>
      </w:r>
      <w:r w:rsidR="00362C17" w:rsidRPr="00191D29">
        <w:t xml:space="preserve"> </w:t>
      </w:r>
      <w:r w:rsidR="00AF0837" w:rsidRPr="00191D29">
        <w:t xml:space="preserve">could be achieved </w:t>
      </w:r>
      <w:r w:rsidR="00FE034B" w:rsidRPr="00191D29">
        <w:t xml:space="preserve">with the </w:t>
      </w:r>
      <w:r w:rsidR="004511B4" w:rsidRPr="00191D29">
        <w:t xml:space="preserve">increased </w:t>
      </w:r>
      <w:r w:rsidR="00664C75" w:rsidRPr="00191D29">
        <w:t>uptake</w:t>
      </w:r>
      <w:r w:rsidR="00FE034B" w:rsidRPr="00191D29">
        <w:t xml:space="preserve"> </w:t>
      </w:r>
      <w:r w:rsidR="00EC32FB" w:rsidRPr="00191D29">
        <w:t xml:space="preserve">by the majority of the fleet </w:t>
      </w:r>
      <w:r w:rsidR="00FE034B" w:rsidRPr="00191D29">
        <w:t xml:space="preserve">of </w:t>
      </w:r>
      <w:r w:rsidR="006A6E7A" w:rsidRPr="00191D29">
        <w:t xml:space="preserve">sustainable </w:t>
      </w:r>
      <w:r w:rsidR="00FE034B" w:rsidRPr="00191D29">
        <w:t>biofuel blends</w:t>
      </w:r>
      <w:r w:rsidR="00621E31" w:rsidRPr="00191D29">
        <w:t xml:space="preserve"> </w:t>
      </w:r>
      <w:r w:rsidR="007C4A43" w:rsidRPr="00191D29">
        <w:t>(</w:t>
      </w:r>
      <w:r w:rsidR="004511B4" w:rsidRPr="00191D29">
        <w:t xml:space="preserve">and </w:t>
      </w:r>
      <w:r w:rsidR="004625A4" w:rsidRPr="00191D29">
        <w:t xml:space="preserve">additional ships using </w:t>
      </w:r>
      <w:r w:rsidR="006458CB" w:rsidRPr="00191D29">
        <w:t>LNG</w:t>
      </w:r>
      <w:r w:rsidR="007C4A43" w:rsidRPr="00191D29">
        <w:t>)</w:t>
      </w:r>
      <w:r w:rsidR="00E03D09" w:rsidRPr="00191D29">
        <w:t>,</w:t>
      </w:r>
      <w:r w:rsidR="004A0BDB" w:rsidRPr="00191D29">
        <w:t xml:space="preserve"> </w:t>
      </w:r>
      <w:r w:rsidR="004570C2">
        <w:t>the co-sponsors</w:t>
      </w:r>
      <w:r w:rsidR="007C4A43" w:rsidRPr="00191D29">
        <w:t xml:space="preserve"> emphasi</w:t>
      </w:r>
      <w:r w:rsidR="004570C2">
        <w:t>z</w:t>
      </w:r>
      <w:r w:rsidR="007C4A43" w:rsidRPr="00191D29">
        <w:t xml:space="preserve">e that </w:t>
      </w:r>
      <w:r w:rsidR="005342DB" w:rsidRPr="00191D29">
        <w:t xml:space="preserve">this will not itself </w:t>
      </w:r>
      <w:r w:rsidR="00BF013D" w:rsidRPr="00191D29">
        <w:t xml:space="preserve">be sufficient to </w:t>
      </w:r>
      <w:r w:rsidR="000A21DC" w:rsidRPr="00191D29">
        <w:t xml:space="preserve">achieve </w:t>
      </w:r>
      <w:r w:rsidR="00042954" w:rsidRPr="00191D29">
        <w:t xml:space="preserve">a </w:t>
      </w:r>
      <w:r w:rsidR="00BF013D" w:rsidRPr="00191D29">
        <w:t>“</w:t>
      </w:r>
      <w:r w:rsidR="000A21DC" w:rsidRPr="00191D29">
        <w:t>take</w:t>
      </w:r>
      <w:r w:rsidR="00512846" w:rsidRPr="00191D29">
        <w:t>-</w:t>
      </w:r>
      <w:r w:rsidR="000A21DC" w:rsidRPr="00191D29">
        <w:t>off</w:t>
      </w:r>
      <w:r w:rsidR="007C4A43" w:rsidRPr="00191D29">
        <w:t>”</w:t>
      </w:r>
      <w:r w:rsidR="000A21DC" w:rsidRPr="00191D29">
        <w:t xml:space="preserve"> point </w:t>
      </w:r>
      <w:r w:rsidR="00910090" w:rsidRPr="00191D29">
        <w:t xml:space="preserve">for </w:t>
      </w:r>
      <w:r w:rsidR="000A21DC" w:rsidRPr="00191D29">
        <w:t xml:space="preserve">the uptake of </w:t>
      </w:r>
      <w:r w:rsidR="00A26913" w:rsidRPr="00191D29">
        <w:t xml:space="preserve">other zero/near-zero GHG fuels which will be </w:t>
      </w:r>
      <w:r w:rsidR="003D2753" w:rsidRPr="00191D29">
        <w:t>a fundamental necessity</w:t>
      </w:r>
      <w:r w:rsidR="00A26913" w:rsidRPr="00191D29">
        <w:t xml:space="preserve"> by 2030</w:t>
      </w:r>
      <w:r w:rsidR="00512846" w:rsidRPr="00191D29">
        <w:t xml:space="preserve"> if the transition </w:t>
      </w:r>
      <w:r w:rsidR="00785255" w:rsidRPr="00191D29">
        <w:t xml:space="preserve">to net zero </w:t>
      </w:r>
      <w:r w:rsidR="00512846" w:rsidRPr="00191D29">
        <w:t>is to succeed.</w:t>
      </w:r>
      <w:r w:rsidR="001778C5" w:rsidRPr="00191D29">
        <w:t xml:space="preserve">  </w:t>
      </w:r>
    </w:p>
    <w:p w14:paraId="6DA3D01D" w14:textId="77777777" w:rsidR="00AE7CEA" w:rsidRPr="00191D29" w:rsidRDefault="00AE7CEA" w:rsidP="006B337E">
      <w:pPr>
        <w:tabs>
          <w:tab w:val="clear" w:pos="851"/>
        </w:tabs>
      </w:pPr>
    </w:p>
    <w:p w14:paraId="1E820EEB" w14:textId="75B7D38D" w:rsidR="00FA6F89" w:rsidRPr="00191D29" w:rsidRDefault="00AE7CEA" w:rsidP="006B337E">
      <w:pPr>
        <w:tabs>
          <w:tab w:val="clear" w:pos="851"/>
        </w:tabs>
      </w:pPr>
      <w:r w:rsidRPr="00191D29">
        <w:t>24</w:t>
      </w:r>
      <w:r w:rsidRPr="00191D29">
        <w:tab/>
      </w:r>
      <w:r w:rsidR="001778C5" w:rsidRPr="00191D29">
        <w:t>T</w:t>
      </w:r>
      <w:r w:rsidR="004A0BDB" w:rsidRPr="00191D29">
        <w:t xml:space="preserve">he aggressive tightening of the </w:t>
      </w:r>
      <w:r w:rsidR="00910090" w:rsidRPr="00191D29">
        <w:t>Global F</w:t>
      </w:r>
      <w:r w:rsidR="004A0BDB" w:rsidRPr="00191D29">
        <w:t xml:space="preserve">uel </w:t>
      </w:r>
      <w:r w:rsidR="00910090" w:rsidRPr="00191D29">
        <w:t>S</w:t>
      </w:r>
      <w:r w:rsidR="004A0BDB" w:rsidRPr="00191D29">
        <w:t xml:space="preserve">tandard </w:t>
      </w:r>
      <w:r w:rsidR="008D20BB" w:rsidRPr="00191D29">
        <w:t xml:space="preserve">that will be necessary after </w:t>
      </w:r>
      <w:r w:rsidR="004A0BDB" w:rsidRPr="00191D29">
        <w:t xml:space="preserve">2030 </w:t>
      </w:r>
      <w:r w:rsidR="001778C5" w:rsidRPr="00191D29">
        <w:t xml:space="preserve">to achieve net zero by or around 2050 </w:t>
      </w:r>
      <w:r w:rsidR="004A0BDB" w:rsidRPr="00191D29">
        <w:t xml:space="preserve">is only likely to be possible </w:t>
      </w:r>
      <w:r w:rsidR="00521BAB" w:rsidRPr="00191D29">
        <w:t xml:space="preserve">if large numbers of ships are using </w:t>
      </w:r>
      <w:r w:rsidR="00B378B1" w:rsidRPr="00191D29">
        <w:t xml:space="preserve">other </w:t>
      </w:r>
      <w:r w:rsidR="00DB2627" w:rsidRPr="00191D29">
        <w:t>zero/near</w:t>
      </w:r>
      <w:r w:rsidR="00F76474" w:rsidRPr="00191D29">
        <w:t>-</w:t>
      </w:r>
      <w:r w:rsidR="00DB2627" w:rsidRPr="00191D29">
        <w:t xml:space="preserve">zero GHG fuels </w:t>
      </w:r>
      <w:r w:rsidR="00F12BC0" w:rsidRPr="00191D29">
        <w:t>by</w:t>
      </w:r>
      <w:r w:rsidR="0013689E" w:rsidRPr="00191D29">
        <w:t xml:space="preserve"> the early </w:t>
      </w:r>
      <w:r w:rsidR="005E55BD" w:rsidRPr="00191D29">
        <w:t>2030s.</w:t>
      </w:r>
      <w:r w:rsidR="00E5591A" w:rsidRPr="00191D29">
        <w:t xml:space="preserve"> This will </w:t>
      </w:r>
      <w:r w:rsidR="002709C6" w:rsidRPr="00191D29">
        <w:t>require a “take off” point in the uptake of th</w:t>
      </w:r>
      <w:r w:rsidR="00C5781F" w:rsidRPr="00191D29">
        <w:t>ese</w:t>
      </w:r>
      <w:r w:rsidR="002709C6" w:rsidRPr="00191D29">
        <w:t xml:space="preserve"> </w:t>
      </w:r>
      <w:r w:rsidR="00C56BA5" w:rsidRPr="00191D29">
        <w:t xml:space="preserve">expensive </w:t>
      </w:r>
      <w:r w:rsidR="009525DD" w:rsidRPr="00191D29">
        <w:t xml:space="preserve">alternative </w:t>
      </w:r>
      <w:r w:rsidR="002709C6" w:rsidRPr="00191D29">
        <w:t xml:space="preserve">fuels to be achieved by </w:t>
      </w:r>
      <w:r w:rsidR="00953FD2" w:rsidRPr="00191D29">
        <w:t>2030</w:t>
      </w:r>
      <w:r w:rsidR="002709C6" w:rsidRPr="00191D29">
        <w:t xml:space="preserve"> </w:t>
      </w:r>
      <w:r w:rsidR="00953FD2" w:rsidRPr="00191D29">
        <w:t xml:space="preserve">i.e. </w:t>
      </w:r>
      <w:r w:rsidR="00117F70" w:rsidRPr="00191D29">
        <w:t xml:space="preserve">achievement of </w:t>
      </w:r>
      <w:r w:rsidR="00953FD2" w:rsidRPr="00191D29">
        <w:t xml:space="preserve">the new </w:t>
      </w:r>
      <w:r w:rsidR="000F7CD2" w:rsidRPr="00191D29">
        <w:t xml:space="preserve">IMO </w:t>
      </w:r>
      <w:r w:rsidR="00A25A12" w:rsidRPr="00191D29">
        <w:t xml:space="preserve">goal </w:t>
      </w:r>
      <w:r w:rsidR="00953FD2" w:rsidRPr="00191D29">
        <w:t xml:space="preserve">for </w:t>
      </w:r>
      <w:r w:rsidR="000F7CD2" w:rsidRPr="00191D29">
        <w:t>5</w:t>
      </w:r>
      <w:r w:rsidR="00372A02" w:rsidRPr="00191D29">
        <w:t xml:space="preserve"> to </w:t>
      </w:r>
      <w:r w:rsidR="000F7CD2" w:rsidRPr="00191D29">
        <w:t>10% of the energy used by shipping to be generated by zero/near</w:t>
      </w:r>
      <w:r w:rsidR="00E87CBE" w:rsidRPr="00191D29">
        <w:t>-</w:t>
      </w:r>
      <w:r w:rsidR="000F7CD2" w:rsidRPr="00191D29">
        <w:t>zero GHG fuels</w:t>
      </w:r>
      <w:r w:rsidR="00C60A3F" w:rsidRPr="00191D29">
        <w:t>, technologies</w:t>
      </w:r>
      <w:r w:rsidR="00CF3AFF" w:rsidRPr="00191D29">
        <w:t xml:space="preserve"> </w:t>
      </w:r>
      <w:r w:rsidR="00393F01" w:rsidRPr="00191D29">
        <w:t xml:space="preserve">and/or energy sources </w:t>
      </w:r>
      <w:r w:rsidR="00CF3AFF" w:rsidRPr="00191D29">
        <w:t>by 2030</w:t>
      </w:r>
      <w:r w:rsidR="00AD6249" w:rsidRPr="00191D29">
        <w:t>.</w:t>
      </w:r>
      <w:r w:rsidR="00411D7F" w:rsidRPr="00191D29">
        <w:t xml:space="preserve"> But </w:t>
      </w:r>
      <w:r w:rsidR="005E55BD" w:rsidRPr="00191D29">
        <w:t>t</w:t>
      </w:r>
      <w:r w:rsidR="00AD6249" w:rsidRPr="00191D29">
        <w:t xml:space="preserve">his will </w:t>
      </w:r>
      <w:r w:rsidR="00DD3EC1" w:rsidRPr="00191D29">
        <w:t xml:space="preserve">only be possible if the cost gap </w:t>
      </w:r>
      <w:r w:rsidR="00AD6249" w:rsidRPr="00191D29">
        <w:t xml:space="preserve">with conventional fuels </w:t>
      </w:r>
      <w:r w:rsidR="0070540B" w:rsidRPr="00191D29">
        <w:t>can be</w:t>
      </w:r>
      <w:r w:rsidR="00DD3EC1" w:rsidRPr="00191D29">
        <w:t xml:space="preserve"> </w:t>
      </w:r>
      <w:r w:rsidR="0070540B" w:rsidRPr="00191D29">
        <w:t>meaningfully</w:t>
      </w:r>
      <w:r w:rsidR="00DD3EC1" w:rsidRPr="00191D29">
        <w:t xml:space="preserve"> reduced</w:t>
      </w:r>
      <w:r w:rsidR="00AD6249" w:rsidRPr="00191D29">
        <w:t xml:space="preserve"> </w:t>
      </w:r>
      <w:r w:rsidR="00D3567E" w:rsidRPr="00191D29">
        <w:t xml:space="preserve">via </w:t>
      </w:r>
      <w:r w:rsidR="0061074D" w:rsidRPr="00191D29">
        <w:t xml:space="preserve">a </w:t>
      </w:r>
      <w:r w:rsidR="00D3567E" w:rsidRPr="00191D29">
        <w:t>GHG pricing mechanism</w:t>
      </w:r>
      <w:r w:rsidR="003F7805" w:rsidRPr="00191D29">
        <w:t>,</w:t>
      </w:r>
      <w:r w:rsidR="00D3567E" w:rsidRPr="00191D29">
        <w:t xml:space="preserve"> </w:t>
      </w:r>
      <w:r w:rsidR="008D4000" w:rsidRPr="00191D29">
        <w:t>bearing in min</w:t>
      </w:r>
      <w:r w:rsidR="00E36915" w:rsidRPr="00191D29">
        <w:t>d</w:t>
      </w:r>
      <w:r w:rsidR="008D4000" w:rsidRPr="00191D29">
        <w:t xml:space="preserve"> also the </w:t>
      </w:r>
      <w:r w:rsidR="003C1B0D" w:rsidRPr="00191D29">
        <w:t xml:space="preserve">serious </w:t>
      </w:r>
      <w:r w:rsidR="008D4000" w:rsidRPr="00191D29">
        <w:t xml:space="preserve">competition </w:t>
      </w:r>
      <w:r w:rsidR="00394965" w:rsidRPr="00191D29">
        <w:t xml:space="preserve">which </w:t>
      </w:r>
      <w:r w:rsidR="008D4000" w:rsidRPr="00191D29">
        <w:t>shipping will face</w:t>
      </w:r>
      <w:r w:rsidR="00E36915" w:rsidRPr="00191D29">
        <w:t xml:space="preserve"> </w:t>
      </w:r>
      <w:r w:rsidR="00394965" w:rsidRPr="00191D29">
        <w:t xml:space="preserve">from other industrial sectors </w:t>
      </w:r>
      <w:r w:rsidR="00E36915" w:rsidRPr="00191D29">
        <w:t xml:space="preserve">for access to </w:t>
      </w:r>
      <w:r w:rsidR="006113BA" w:rsidRPr="00191D29">
        <w:t>zero/near</w:t>
      </w:r>
      <w:r w:rsidR="00533E83" w:rsidRPr="00191D29">
        <w:t xml:space="preserve">-zero GHG </w:t>
      </w:r>
      <w:r w:rsidR="006113BA" w:rsidRPr="00191D29">
        <w:t>fuels</w:t>
      </w:r>
      <w:r w:rsidR="00394965" w:rsidRPr="00191D29">
        <w:t>.</w:t>
      </w:r>
    </w:p>
    <w:p w14:paraId="1BC70BAE" w14:textId="77777777" w:rsidR="00C50AA0" w:rsidRPr="00191D29" w:rsidRDefault="00C50AA0" w:rsidP="006B337E">
      <w:pPr>
        <w:tabs>
          <w:tab w:val="clear" w:pos="851"/>
        </w:tabs>
      </w:pPr>
    </w:p>
    <w:p w14:paraId="5C62B39E" w14:textId="249A7EC8" w:rsidR="00C50AA0" w:rsidRPr="00191D29" w:rsidRDefault="00200477" w:rsidP="00C50AA0">
      <w:pPr>
        <w:tabs>
          <w:tab w:val="clear" w:pos="851"/>
        </w:tabs>
      </w:pPr>
      <w:r w:rsidRPr="00191D29">
        <w:t>2</w:t>
      </w:r>
      <w:r w:rsidR="00A94A2F" w:rsidRPr="00191D29">
        <w:t>5</w:t>
      </w:r>
      <w:r w:rsidR="00C50AA0" w:rsidRPr="00191D29">
        <w:tab/>
        <w:t xml:space="preserve">Notwithstanding the Comprehensive Impact Assessment (CIA) of proposed mid-term measures which was initiated by MEPC 80, </w:t>
      </w:r>
      <w:r w:rsidR="00180FBF">
        <w:t>the co-sponsor</w:t>
      </w:r>
      <w:r w:rsidR="00AA4189">
        <w:t>s</w:t>
      </w:r>
      <w:r w:rsidR="00C50AA0" w:rsidRPr="00191D29">
        <w:t xml:space="preserve"> </w:t>
      </w:r>
      <w:r w:rsidR="00AA4189">
        <w:t xml:space="preserve">are </w:t>
      </w:r>
      <w:r w:rsidR="00C50AA0" w:rsidRPr="00191D29">
        <w:t xml:space="preserve">confident that the economic impacts on States of the proposed Fund and Reward </w:t>
      </w:r>
      <w:r w:rsidR="006B4D98" w:rsidRPr="00191D29">
        <w:t xml:space="preserve">(Feebate) </w:t>
      </w:r>
      <w:r w:rsidR="00C50AA0" w:rsidRPr="00191D29">
        <w:t xml:space="preserve">mechanism </w:t>
      </w:r>
      <w:r w:rsidR="00CF7702" w:rsidRPr="00191D29">
        <w:t>would be acceptable to Member States</w:t>
      </w:r>
      <w:r w:rsidR="00C50AA0" w:rsidRPr="00191D29">
        <w:t>, as demonstrated by the initial impact assessment of a range of contribution quanta which was submitted by ICS to ISWG-GHG 12 and which has now been updated by Clarksons Research as set out</w:t>
      </w:r>
      <w:r w:rsidR="00B64114" w:rsidRPr="00191D29">
        <w:t xml:space="preserve"> </w:t>
      </w:r>
      <w:r w:rsidR="00C50AA0" w:rsidRPr="00191D29">
        <w:t>in document ISWG-GHG 16/</w:t>
      </w:r>
      <w:r w:rsidR="00C50AA0" w:rsidRPr="0007655D">
        <w:t>2/</w:t>
      </w:r>
      <w:r w:rsidR="0007655D" w:rsidRPr="0007655D">
        <w:t>2</w:t>
      </w:r>
      <w:r w:rsidR="00AA4189">
        <w:t xml:space="preserve"> (ICS)</w:t>
      </w:r>
      <w:r w:rsidR="00C50AA0" w:rsidRPr="0007655D">
        <w:t>.</w:t>
      </w:r>
      <w:r w:rsidR="00C50AA0" w:rsidRPr="00191D29">
        <w:t xml:space="preserve">  </w:t>
      </w:r>
    </w:p>
    <w:p w14:paraId="5191AF0E" w14:textId="77777777" w:rsidR="00C50AA0" w:rsidRPr="00191D29" w:rsidRDefault="00C50AA0" w:rsidP="00C50AA0">
      <w:pPr>
        <w:tabs>
          <w:tab w:val="clear" w:pos="851"/>
        </w:tabs>
      </w:pPr>
    </w:p>
    <w:p w14:paraId="5CF59330" w14:textId="68E14343" w:rsidR="00C50AA0" w:rsidRPr="00191D29" w:rsidRDefault="00200477" w:rsidP="00C50AA0">
      <w:pPr>
        <w:tabs>
          <w:tab w:val="clear" w:pos="851"/>
        </w:tabs>
      </w:pPr>
      <w:r w:rsidRPr="00191D29">
        <w:t>2</w:t>
      </w:r>
      <w:r w:rsidR="00B73950" w:rsidRPr="00191D29">
        <w:t>6</w:t>
      </w:r>
      <w:r w:rsidR="00C50AA0" w:rsidRPr="00191D29">
        <w:tab/>
        <w:t xml:space="preserve">Given that approval of </w:t>
      </w:r>
      <w:r w:rsidR="00682F9C" w:rsidRPr="00191D29">
        <w:t xml:space="preserve">a </w:t>
      </w:r>
      <w:r w:rsidR="00AA394D" w:rsidRPr="00191D29">
        <w:t xml:space="preserve">maritime </w:t>
      </w:r>
      <w:r w:rsidR="00682F9C" w:rsidRPr="00191D29">
        <w:t xml:space="preserve">GHG </w:t>
      </w:r>
      <w:r w:rsidR="00AA394D" w:rsidRPr="00191D29">
        <w:t xml:space="preserve">emissions </w:t>
      </w:r>
      <w:r w:rsidR="00682F9C" w:rsidRPr="00191D29">
        <w:t xml:space="preserve">pricing mechanism </w:t>
      </w:r>
      <w:r w:rsidR="00C50AA0" w:rsidRPr="00191D29">
        <w:t>will be required at MEPC 83, it is imperative that the Group and the Committee commence detail</w:t>
      </w:r>
      <w:r w:rsidR="005B34D2" w:rsidRPr="00191D29">
        <w:t>ed</w:t>
      </w:r>
      <w:r w:rsidR="00C50AA0" w:rsidRPr="00191D29">
        <w:t xml:space="preserve"> work on the </w:t>
      </w:r>
      <w:r w:rsidR="00FF0CE7" w:rsidRPr="00191D29">
        <w:t xml:space="preserve">development of </w:t>
      </w:r>
      <w:r w:rsidR="00C50AA0" w:rsidRPr="00191D29">
        <w:t>text of the necessary amendments to MA</w:t>
      </w:r>
      <w:r w:rsidR="005B34D2" w:rsidRPr="00191D29">
        <w:t>R</w:t>
      </w:r>
      <w:r w:rsidR="00C50AA0" w:rsidRPr="00191D29">
        <w:t>POL Annex VI</w:t>
      </w:r>
      <w:r w:rsidR="00D31E92" w:rsidRPr="00191D29">
        <w:t>.</w:t>
      </w:r>
      <w:r w:rsidR="005B34D2" w:rsidRPr="00191D29">
        <w:t xml:space="preserve"> </w:t>
      </w:r>
      <w:r w:rsidR="00AA4189">
        <w:t>The co-sponsors</w:t>
      </w:r>
      <w:r w:rsidR="005B34D2" w:rsidRPr="00191D29">
        <w:t xml:space="preserve"> therefore suggest that the Group recommend</w:t>
      </w:r>
      <w:r w:rsidR="00E8108A" w:rsidRPr="00191D29">
        <w:t>s</w:t>
      </w:r>
      <w:r w:rsidR="005B34D2" w:rsidRPr="00191D29">
        <w:t xml:space="preserve"> to MEPC </w:t>
      </w:r>
      <w:r w:rsidR="00865797" w:rsidRPr="00191D29">
        <w:t>81</w:t>
      </w:r>
      <w:r w:rsidR="005F7E80" w:rsidRPr="00191D29">
        <w:t xml:space="preserve"> </w:t>
      </w:r>
      <w:r w:rsidR="00865797" w:rsidRPr="00191D29">
        <w:t xml:space="preserve">that </w:t>
      </w:r>
      <w:r w:rsidR="00D31E92" w:rsidRPr="00191D29">
        <w:t xml:space="preserve">the Group </w:t>
      </w:r>
      <w:r w:rsidR="00CF7702" w:rsidRPr="00191D29">
        <w:t>is</w:t>
      </w:r>
      <w:r w:rsidR="00B07D28" w:rsidRPr="00191D29">
        <w:t xml:space="preserve"> tasked with developing draft amendments to MARPOL Annex VI</w:t>
      </w:r>
      <w:r w:rsidR="00865797" w:rsidRPr="00191D29">
        <w:t xml:space="preserve"> </w:t>
      </w:r>
      <w:r w:rsidR="005170AA" w:rsidRPr="00191D29">
        <w:t xml:space="preserve">for consideration at MEPC 82, </w:t>
      </w:r>
      <w:r w:rsidR="00C50AA0" w:rsidRPr="00191D29">
        <w:t xml:space="preserve">using the </w:t>
      </w:r>
      <w:r w:rsidR="000037A7" w:rsidRPr="00191D29">
        <w:t xml:space="preserve">possible </w:t>
      </w:r>
      <w:r w:rsidR="007123C5" w:rsidRPr="00191D29">
        <w:t xml:space="preserve">draft </w:t>
      </w:r>
      <w:r w:rsidR="00C50AA0" w:rsidRPr="00191D29">
        <w:t>text set out in the annex</w:t>
      </w:r>
      <w:r w:rsidR="000037A7" w:rsidRPr="00191D29">
        <w:t>es</w:t>
      </w:r>
      <w:r w:rsidR="00C50AA0" w:rsidRPr="00191D29">
        <w:t xml:space="preserve"> to this document</w:t>
      </w:r>
      <w:r w:rsidR="005F7E80" w:rsidRPr="00191D29">
        <w:t>,</w:t>
      </w:r>
      <w:r w:rsidR="00C50AA0" w:rsidRPr="00191D29">
        <w:t xml:space="preserve"> together with </w:t>
      </w:r>
      <w:r w:rsidR="00FD1E17" w:rsidRPr="00191D29">
        <w:t xml:space="preserve">possible </w:t>
      </w:r>
      <w:r w:rsidR="007123C5" w:rsidRPr="00191D29">
        <w:t xml:space="preserve">draft </w:t>
      </w:r>
      <w:r w:rsidR="00894486" w:rsidRPr="00191D29">
        <w:t xml:space="preserve">text included with </w:t>
      </w:r>
      <w:r w:rsidR="00480F6B" w:rsidRPr="00191D29">
        <w:t>th</w:t>
      </w:r>
      <w:r w:rsidR="00FD1E17" w:rsidRPr="00191D29">
        <w:t>ose</w:t>
      </w:r>
      <w:r w:rsidR="00480F6B" w:rsidRPr="00191D29">
        <w:t xml:space="preserve"> </w:t>
      </w:r>
      <w:r w:rsidR="00C50AA0" w:rsidRPr="00191D29">
        <w:t>other detailed regulatory proposals which use a flat contribution mechanism to an IMO fund per tonne of CO</w:t>
      </w:r>
      <w:r w:rsidR="00C50AA0" w:rsidRPr="00191D29">
        <w:rPr>
          <w:vertAlign w:val="subscript"/>
        </w:rPr>
        <w:t>2</w:t>
      </w:r>
      <w:r w:rsidR="00C50AA0" w:rsidRPr="00191D29">
        <w:t xml:space="preserve">e emitted, such as </w:t>
      </w:r>
      <w:r w:rsidR="00FE4289" w:rsidRPr="00191D29">
        <w:t xml:space="preserve">the proposals </w:t>
      </w:r>
      <w:r w:rsidR="00C50AA0" w:rsidRPr="00191D29">
        <w:t xml:space="preserve">previously submitted by Japan and </w:t>
      </w:r>
      <w:r w:rsidR="005D7BE0" w:rsidRPr="00191D29">
        <w:t xml:space="preserve">by </w:t>
      </w:r>
      <w:r w:rsidR="00C50AA0" w:rsidRPr="00191D29">
        <w:t xml:space="preserve">the Marshall Islands and Solomon Islands, as may be updated </w:t>
      </w:r>
      <w:r w:rsidR="00BA4E81" w:rsidRPr="00191D29">
        <w:t xml:space="preserve">or supplemented </w:t>
      </w:r>
      <w:r w:rsidR="00C50AA0" w:rsidRPr="00191D29">
        <w:t xml:space="preserve">in any further submissions to ISWG-GHG 16.           </w:t>
      </w:r>
    </w:p>
    <w:p w14:paraId="354674CA" w14:textId="77777777" w:rsidR="003E727E" w:rsidRPr="00191D29" w:rsidRDefault="003E727E" w:rsidP="006B337E">
      <w:pPr>
        <w:tabs>
          <w:tab w:val="clear" w:pos="851"/>
        </w:tabs>
        <w:rPr>
          <w:b/>
          <w:bCs/>
        </w:rPr>
      </w:pPr>
    </w:p>
    <w:p w14:paraId="69B846E6" w14:textId="29DFDE33" w:rsidR="00D84D1C" w:rsidRPr="00191D29" w:rsidRDefault="008E4FED" w:rsidP="00DE29DC">
      <w:pPr>
        <w:keepNext/>
        <w:keepLines/>
        <w:tabs>
          <w:tab w:val="clear" w:pos="851"/>
        </w:tabs>
        <w:rPr>
          <w:b/>
          <w:bCs/>
        </w:rPr>
      </w:pPr>
      <w:r w:rsidRPr="00191D29">
        <w:rPr>
          <w:b/>
          <w:bCs/>
        </w:rPr>
        <w:t xml:space="preserve">OVERVIEW </w:t>
      </w:r>
      <w:r w:rsidR="00704374" w:rsidRPr="00191D29">
        <w:rPr>
          <w:b/>
          <w:bCs/>
        </w:rPr>
        <w:t xml:space="preserve">OF </w:t>
      </w:r>
      <w:r w:rsidR="00C97E97" w:rsidRPr="00191D29">
        <w:rPr>
          <w:b/>
          <w:bCs/>
        </w:rPr>
        <w:t xml:space="preserve">THE MODIFIED </w:t>
      </w:r>
      <w:r w:rsidR="00C932B9" w:rsidRPr="00191D29">
        <w:rPr>
          <w:b/>
          <w:bCs/>
        </w:rPr>
        <w:t xml:space="preserve">FUND AND REWARD (FEEBATE) MECHANISM </w:t>
      </w:r>
    </w:p>
    <w:p w14:paraId="569AC5A5" w14:textId="77777777" w:rsidR="00BD54E2" w:rsidRPr="00191D29" w:rsidRDefault="00BD54E2" w:rsidP="00DE29DC">
      <w:pPr>
        <w:keepNext/>
        <w:keepLines/>
        <w:tabs>
          <w:tab w:val="clear" w:pos="851"/>
        </w:tabs>
      </w:pPr>
    </w:p>
    <w:p w14:paraId="15A72FBE" w14:textId="323F40A3" w:rsidR="009604C0" w:rsidRPr="00191D29" w:rsidRDefault="000D1CF5" w:rsidP="00DE29DC">
      <w:pPr>
        <w:keepNext/>
        <w:keepLines/>
        <w:tabs>
          <w:tab w:val="clear" w:pos="851"/>
        </w:tabs>
      </w:pPr>
      <w:r w:rsidRPr="00191D29">
        <w:t>2</w:t>
      </w:r>
      <w:r w:rsidR="00B73950" w:rsidRPr="00191D29">
        <w:t>7</w:t>
      </w:r>
      <w:r w:rsidR="00E161BB" w:rsidRPr="00191D29">
        <w:tab/>
      </w:r>
      <w:r w:rsidR="00CF7702" w:rsidRPr="00191D29">
        <w:t xml:space="preserve">A ship </w:t>
      </w:r>
      <w:r w:rsidR="00A73CB4" w:rsidRPr="00191D29">
        <w:t xml:space="preserve">will be required to make </w:t>
      </w:r>
      <w:r w:rsidR="00CF7702" w:rsidRPr="00191D29">
        <w:t xml:space="preserve">a </w:t>
      </w:r>
      <w:r w:rsidR="00A73CB4" w:rsidRPr="00191D29">
        <w:t>mandatory contribution per tonne of CO</w:t>
      </w:r>
      <w:r w:rsidR="00A73CB4" w:rsidRPr="00191D29">
        <w:rPr>
          <w:vertAlign w:val="subscript"/>
        </w:rPr>
        <w:t>2</w:t>
      </w:r>
      <w:r w:rsidR="00A73CB4" w:rsidRPr="00191D29">
        <w:t xml:space="preserve">e emitted </w:t>
      </w:r>
      <w:r w:rsidR="00CF7702" w:rsidRPr="00191D29">
        <w:t xml:space="preserve">by the ship in a calendar year </w:t>
      </w:r>
      <w:r w:rsidR="00C07191" w:rsidRPr="00191D29">
        <w:t xml:space="preserve">to what </w:t>
      </w:r>
      <w:r w:rsidR="00D84637" w:rsidRPr="00191D29">
        <w:t>is now called</w:t>
      </w:r>
      <w:r w:rsidR="00D96531" w:rsidRPr="00191D29">
        <w:t xml:space="preserve"> </w:t>
      </w:r>
      <w:r w:rsidR="002E3BD3" w:rsidRPr="00191D29">
        <w:t>the</w:t>
      </w:r>
      <w:r w:rsidR="00C07191" w:rsidRPr="00191D29">
        <w:t xml:space="preserve"> Zero Emission </w:t>
      </w:r>
      <w:r w:rsidR="0004783C" w:rsidRPr="00191D29">
        <w:t xml:space="preserve">Shipping </w:t>
      </w:r>
      <w:r w:rsidR="00C07191" w:rsidRPr="00191D29">
        <w:t>Fund (ZESF)</w:t>
      </w:r>
      <w:r w:rsidR="004A1B6E" w:rsidRPr="00191D29">
        <w:t xml:space="preserve">, </w:t>
      </w:r>
      <w:r w:rsidR="00FD3FDF" w:rsidRPr="00191D29">
        <w:t xml:space="preserve">via </w:t>
      </w:r>
      <w:r w:rsidR="00371DD8" w:rsidRPr="00191D29">
        <w:t>a</w:t>
      </w:r>
      <w:r w:rsidR="0004783C" w:rsidRPr="00191D29">
        <w:t>n</w:t>
      </w:r>
      <w:r w:rsidR="00BF57AA" w:rsidRPr="00191D29">
        <w:t xml:space="preserve"> automated </w:t>
      </w:r>
      <w:r w:rsidR="00FD3FDF" w:rsidRPr="00191D29">
        <w:t xml:space="preserve">Fund and Reward </w:t>
      </w:r>
      <w:r w:rsidR="00DD73AB" w:rsidRPr="00191D29">
        <w:t xml:space="preserve">(Feebate) mechanism </w:t>
      </w:r>
      <w:r w:rsidR="00C96400" w:rsidRPr="00191D29">
        <w:t xml:space="preserve">to </w:t>
      </w:r>
      <w:r w:rsidR="004A1B6E" w:rsidRPr="00191D29">
        <w:t>be administered by IMO</w:t>
      </w:r>
      <w:r w:rsidR="009604C0" w:rsidRPr="00191D29">
        <w:t>.</w:t>
      </w:r>
      <w:r w:rsidR="00F90FA9" w:rsidRPr="00191D29">
        <w:t xml:space="preserve"> </w:t>
      </w:r>
    </w:p>
    <w:p w14:paraId="14AAE224" w14:textId="77777777" w:rsidR="009604C0" w:rsidRPr="00191D29" w:rsidRDefault="009604C0" w:rsidP="006B337E">
      <w:pPr>
        <w:tabs>
          <w:tab w:val="clear" w:pos="851"/>
        </w:tabs>
      </w:pPr>
    </w:p>
    <w:p w14:paraId="4C041234" w14:textId="2BF682FA" w:rsidR="00902382" w:rsidRPr="00191D29" w:rsidRDefault="00B73950" w:rsidP="006B337E">
      <w:pPr>
        <w:tabs>
          <w:tab w:val="clear" w:pos="851"/>
        </w:tabs>
        <w:rPr>
          <w:rFonts w:cs="Arial"/>
        </w:rPr>
      </w:pPr>
      <w:r w:rsidRPr="00191D29">
        <w:t>28</w:t>
      </w:r>
      <w:r w:rsidR="009604C0" w:rsidRPr="00191D29">
        <w:tab/>
      </w:r>
      <w:r w:rsidR="00E621C6" w:rsidRPr="00191D29">
        <w:rPr>
          <w:rFonts w:cs="Arial"/>
        </w:rPr>
        <w:t>T</w:t>
      </w:r>
      <w:r w:rsidR="00712D6C" w:rsidRPr="00191D29">
        <w:rPr>
          <w:rFonts w:cs="Arial"/>
        </w:rPr>
        <w:t xml:space="preserve">he </w:t>
      </w:r>
      <w:r w:rsidR="00614706" w:rsidRPr="00191D29">
        <w:rPr>
          <w:rFonts w:cs="Arial"/>
        </w:rPr>
        <w:t xml:space="preserve">substantial </w:t>
      </w:r>
      <w:r w:rsidR="00712D6C" w:rsidRPr="00191D29">
        <w:rPr>
          <w:rFonts w:cs="Arial"/>
        </w:rPr>
        <w:t xml:space="preserve">funds collected </w:t>
      </w:r>
      <w:r w:rsidR="003D74B2" w:rsidRPr="00191D29">
        <w:rPr>
          <w:rFonts w:cs="Arial"/>
        </w:rPr>
        <w:t xml:space="preserve">annually </w:t>
      </w:r>
      <w:r w:rsidR="00AA4DC5" w:rsidRPr="00191D29">
        <w:rPr>
          <w:rFonts w:cs="Arial"/>
        </w:rPr>
        <w:t xml:space="preserve">by the ZESF </w:t>
      </w:r>
      <w:r w:rsidR="00D32EC6" w:rsidRPr="00191D29">
        <w:rPr>
          <w:rFonts w:cs="Arial"/>
        </w:rPr>
        <w:t>will have two main purposes</w:t>
      </w:r>
      <w:r w:rsidR="00902382" w:rsidRPr="00191D29">
        <w:rPr>
          <w:rFonts w:cs="Arial"/>
        </w:rPr>
        <w:t xml:space="preserve">: </w:t>
      </w:r>
      <w:r w:rsidR="00D32EC6" w:rsidRPr="00191D29">
        <w:rPr>
          <w:rFonts w:cs="Arial"/>
        </w:rPr>
        <w:t xml:space="preserve"> </w:t>
      </w:r>
    </w:p>
    <w:p w14:paraId="28494A06" w14:textId="77777777" w:rsidR="00AA4DC5" w:rsidRPr="00191D29" w:rsidRDefault="00AA4DC5" w:rsidP="006B337E">
      <w:pPr>
        <w:tabs>
          <w:tab w:val="clear" w:pos="851"/>
        </w:tabs>
        <w:rPr>
          <w:rFonts w:cs="Arial"/>
        </w:rPr>
      </w:pPr>
    </w:p>
    <w:p w14:paraId="1217CB3A" w14:textId="19A84827" w:rsidR="00AA4DC5" w:rsidRPr="00191D29" w:rsidRDefault="002321D2" w:rsidP="00DE29DC">
      <w:pPr>
        <w:ind w:left="1700" w:hanging="1700"/>
        <w:rPr>
          <w:rFonts w:cs="Arial"/>
          <w:szCs w:val="22"/>
        </w:rPr>
      </w:pPr>
      <w:r w:rsidRPr="00191D29">
        <w:rPr>
          <w:rFonts w:cs="Arial"/>
          <w:szCs w:val="22"/>
        </w:rPr>
        <w:tab/>
        <w:t>.1</w:t>
      </w:r>
      <w:r w:rsidRPr="00191D29">
        <w:rPr>
          <w:rFonts w:cs="Arial"/>
          <w:szCs w:val="22"/>
        </w:rPr>
        <w:tab/>
      </w:r>
      <w:r w:rsidR="00FE7306" w:rsidRPr="00191D29">
        <w:rPr>
          <w:rFonts w:cs="Arial"/>
          <w:szCs w:val="22"/>
        </w:rPr>
        <w:t>a</w:t>
      </w:r>
      <w:r w:rsidR="00F445FB" w:rsidRPr="00191D29">
        <w:rPr>
          <w:rFonts w:cs="Arial"/>
          <w:szCs w:val="22"/>
        </w:rPr>
        <w:t xml:space="preserve"> Fund and Reward (Feebate) programme</w:t>
      </w:r>
      <w:r w:rsidR="00D66752" w:rsidRPr="00191D29">
        <w:rPr>
          <w:rFonts w:cs="Arial"/>
          <w:szCs w:val="22"/>
        </w:rPr>
        <w:t xml:space="preserve">, </w:t>
      </w:r>
      <w:r w:rsidR="00AA4DC5" w:rsidRPr="00191D29">
        <w:rPr>
          <w:rFonts w:cs="Arial"/>
          <w:szCs w:val="22"/>
        </w:rPr>
        <w:t xml:space="preserve">to accelerate shipping’s transition to zero and near-zero GHG fuels to reach a </w:t>
      </w:r>
      <w:r w:rsidR="005525F0" w:rsidRPr="00191D29">
        <w:rPr>
          <w:rFonts w:cs="Arial"/>
          <w:szCs w:val="22"/>
        </w:rPr>
        <w:t>“</w:t>
      </w:r>
      <w:r w:rsidR="00AA4DC5" w:rsidRPr="00191D29">
        <w:rPr>
          <w:rFonts w:cs="Arial"/>
          <w:szCs w:val="22"/>
        </w:rPr>
        <w:t>take off</w:t>
      </w:r>
      <w:r w:rsidR="005525F0" w:rsidRPr="00191D29">
        <w:rPr>
          <w:rFonts w:cs="Arial"/>
          <w:szCs w:val="22"/>
        </w:rPr>
        <w:t>”</w:t>
      </w:r>
      <w:r w:rsidR="00AA4DC5" w:rsidRPr="00191D29">
        <w:rPr>
          <w:rFonts w:cs="Arial"/>
          <w:szCs w:val="22"/>
        </w:rPr>
        <w:t xml:space="preserve"> point on a pathway to </w:t>
      </w:r>
      <w:r w:rsidR="0020692D" w:rsidRPr="00191D29">
        <w:rPr>
          <w:rFonts w:cs="Arial"/>
          <w:szCs w:val="22"/>
        </w:rPr>
        <w:t>net zero</w:t>
      </w:r>
      <w:r w:rsidR="00AA4DC5" w:rsidRPr="00191D29">
        <w:rPr>
          <w:rFonts w:cs="Arial"/>
          <w:szCs w:val="22"/>
        </w:rPr>
        <w:t xml:space="preserve"> by narrowing the </w:t>
      </w:r>
      <w:r w:rsidR="00F445FB" w:rsidRPr="00191D29">
        <w:rPr>
          <w:rFonts w:cs="Arial"/>
          <w:szCs w:val="22"/>
        </w:rPr>
        <w:t xml:space="preserve">cost </w:t>
      </w:r>
      <w:r w:rsidR="00AA4DC5" w:rsidRPr="00191D29">
        <w:rPr>
          <w:rFonts w:cs="Arial"/>
          <w:szCs w:val="22"/>
        </w:rPr>
        <w:t>gap between zero/near-zero GHG fuels and conventional fuels</w:t>
      </w:r>
      <w:r w:rsidR="00003953" w:rsidRPr="00191D29">
        <w:rPr>
          <w:rFonts w:cs="Arial"/>
          <w:szCs w:val="22"/>
        </w:rPr>
        <w:t>; and</w:t>
      </w:r>
      <w:r w:rsidR="00AA4DC5" w:rsidRPr="00191D29">
        <w:rPr>
          <w:rFonts w:cs="Arial"/>
          <w:szCs w:val="22"/>
        </w:rPr>
        <w:t xml:space="preserve"> </w:t>
      </w:r>
    </w:p>
    <w:p w14:paraId="1AAB8FC6" w14:textId="77777777" w:rsidR="0020692D" w:rsidRPr="00191D29" w:rsidRDefault="0020692D" w:rsidP="00AA4DC5">
      <w:pPr>
        <w:tabs>
          <w:tab w:val="clear" w:pos="851"/>
        </w:tabs>
        <w:rPr>
          <w:rFonts w:cs="Arial"/>
          <w:szCs w:val="22"/>
        </w:rPr>
      </w:pPr>
    </w:p>
    <w:p w14:paraId="0E48ACCD" w14:textId="73075BC1" w:rsidR="0020692D" w:rsidRPr="00191D29" w:rsidRDefault="002321D2" w:rsidP="00DE29DC">
      <w:pPr>
        <w:ind w:left="1700" w:hanging="1700"/>
        <w:rPr>
          <w:rFonts w:cs="Arial"/>
          <w:szCs w:val="22"/>
        </w:rPr>
      </w:pPr>
      <w:r w:rsidRPr="00191D29">
        <w:rPr>
          <w:rFonts w:cs="Arial"/>
          <w:szCs w:val="22"/>
        </w:rPr>
        <w:tab/>
        <w:t>.2</w:t>
      </w:r>
      <w:r w:rsidRPr="00191D29">
        <w:rPr>
          <w:rFonts w:cs="Arial"/>
          <w:szCs w:val="22"/>
        </w:rPr>
        <w:tab/>
      </w:r>
      <w:r w:rsidR="004802BC" w:rsidRPr="00191D29">
        <w:rPr>
          <w:rFonts w:cs="Arial"/>
          <w:szCs w:val="22"/>
        </w:rPr>
        <w:t>t</w:t>
      </w:r>
      <w:r w:rsidR="0020692D" w:rsidRPr="00191D29">
        <w:rPr>
          <w:rFonts w:cs="Arial"/>
          <w:szCs w:val="22"/>
        </w:rPr>
        <w:t>o support</w:t>
      </w:r>
      <w:r w:rsidR="00003953" w:rsidRPr="00191D29">
        <w:rPr>
          <w:rFonts w:cs="Arial"/>
          <w:szCs w:val="22"/>
        </w:rPr>
        <w:t xml:space="preserve">, </w:t>
      </w:r>
      <w:r w:rsidR="00003953" w:rsidRPr="00270DC6">
        <w:rPr>
          <w:rFonts w:cs="Arial"/>
          <w:szCs w:val="22"/>
        </w:rPr>
        <w:t>inter alia</w:t>
      </w:r>
      <w:r w:rsidR="00003953" w:rsidRPr="00191D29">
        <w:rPr>
          <w:rFonts w:cs="Arial"/>
          <w:szCs w:val="22"/>
        </w:rPr>
        <w:t>,</w:t>
      </w:r>
      <w:r w:rsidR="0020692D" w:rsidRPr="00191D29">
        <w:rPr>
          <w:rFonts w:cs="Arial"/>
          <w:szCs w:val="22"/>
        </w:rPr>
        <w:t xml:space="preserve"> </w:t>
      </w:r>
      <w:r w:rsidR="00ED2286" w:rsidRPr="00191D29">
        <w:rPr>
          <w:rFonts w:cs="Arial"/>
          <w:szCs w:val="22"/>
        </w:rPr>
        <w:t xml:space="preserve">via </w:t>
      </w:r>
      <w:r w:rsidR="006A1BEE" w:rsidRPr="00191D29">
        <w:rPr>
          <w:rFonts w:cs="Arial"/>
          <w:szCs w:val="22"/>
        </w:rPr>
        <w:t xml:space="preserve">what </w:t>
      </w:r>
      <w:r w:rsidR="0089194E" w:rsidRPr="00191D29">
        <w:rPr>
          <w:rFonts w:cs="Arial"/>
          <w:szCs w:val="22"/>
        </w:rPr>
        <w:t xml:space="preserve">will now be established as </w:t>
      </w:r>
      <w:r w:rsidR="00ED2286" w:rsidRPr="00191D29">
        <w:rPr>
          <w:rFonts w:cs="Arial"/>
          <w:szCs w:val="22"/>
        </w:rPr>
        <w:t>a separate IMO</w:t>
      </w:r>
      <w:r w:rsidR="00711062" w:rsidRPr="00191D29">
        <w:rPr>
          <w:rFonts w:cs="Arial"/>
          <w:szCs w:val="22"/>
        </w:rPr>
        <w:t xml:space="preserve"> </w:t>
      </w:r>
      <w:r w:rsidR="00B34176" w:rsidRPr="00191D29">
        <w:rPr>
          <w:rFonts w:cs="Arial"/>
          <w:szCs w:val="22"/>
        </w:rPr>
        <w:t>(</w:t>
      </w:r>
      <w:r w:rsidR="00ED2286" w:rsidRPr="00191D29">
        <w:rPr>
          <w:rFonts w:cs="Arial"/>
          <w:szCs w:val="22"/>
        </w:rPr>
        <w:t>GHG</w:t>
      </w:r>
      <w:r w:rsidR="00B34176" w:rsidRPr="00191D29">
        <w:rPr>
          <w:rFonts w:cs="Arial"/>
          <w:szCs w:val="22"/>
        </w:rPr>
        <w:t>)</w:t>
      </w:r>
      <w:r w:rsidR="00ED2286" w:rsidRPr="00191D29">
        <w:rPr>
          <w:rFonts w:cs="Arial"/>
          <w:szCs w:val="22"/>
        </w:rPr>
        <w:t xml:space="preserve"> </w:t>
      </w:r>
      <w:r w:rsidR="00711062" w:rsidRPr="00191D29">
        <w:rPr>
          <w:rFonts w:cs="Arial"/>
          <w:szCs w:val="22"/>
        </w:rPr>
        <w:t xml:space="preserve">Maritime Sustainability </w:t>
      </w:r>
      <w:r w:rsidR="00B34176" w:rsidRPr="00191D29">
        <w:rPr>
          <w:rFonts w:cs="Arial"/>
          <w:szCs w:val="22"/>
        </w:rPr>
        <w:t>Fund (IM</w:t>
      </w:r>
      <w:r w:rsidR="00507B69" w:rsidRPr="00191D29">
        <w:rPr>
          <w:rFonts w:cs="Arial"/>
          <w:szCs w:val="22"/>
        </w:rPr>
        <w:t>S</w:t>
      </w:r>
      <w:r w:rsidR="00B34176" w:rsidRPr="00191D29">
        <w:rPr>
          <w:rFonts w:cs="Arial"/>
          <w:szCs w:val="22"/>
        </w:rPr>
        <w:t xml:space="preserve">F), </w:t>
      </w:r>
      <w:r w:rsidR="0020692D" w:rsidRPr="00191D29">
        <w:rPr>
          <w:rFonts w:cs="Arial"/>
          <w:szCs w:val="22"/>
        </w:rPr>
        <w:t xml:space="preserve">the maritime GHG reduction efforts of developing countries, in particular </w:t>
      </w:r>
      <w:r w:rsidR="00B34526" w:rsidRPr="00191D29">
        <w:rPr>
          <w:rFonts w:cs="Arial"/>
          <w:szCs w:val="22"/>
        </w:rPr>
        <w:t>LDC</w:t>
      </w:r>
      <w:r w:rsidR="00C435FA" w:rsidRPr="00191D29">
        <w:rPr>
          <w:rFonts w:cs="Arial"/>
          <w:szCs w:val="22"/>
        </w:rPr>
        <w:t>s</w:t>
      </w:r>
      <w:r w:rsidR="00B34526" w:rsidRPr="00191D29">
        <w:rPr>
          <w:rFonts w:cs="Arial"/>
          <w:szCs w:val="22"/>
        </w:rPr>
        <w:t xml:space="preserve"> and SIDS</w:t>
      </w:r>
      <w:r w:rsidR="00C435FA" w:rsidRPr="00191D29">
        <w:rPr>
          <w:rFonts w:cs="Arial"/>
          <w:szCs w:val="22"/>
        </w:rPr>
        <w:t>,</w:t>
      </w:r>
      <w:r w:rsidR="0020692D" w:rsidRPr="00191D29">
        <w:rPr>
          <w:rFonts w:cs="Arial"/>
          <w:szCs w:val="22"/>
        </w:rPr>
        <w:t xml:space="preserve"> </w:t>
      </w:r>
      <w:r w:rsidR="00B34526" w:rsidRPr="00191D29">
        <w:rPr>
          <w:rFonts w:cs="Arial"/>
          <w:szCs w:val="22"/>
        </w:rPr>
        <w:t xml:space="preserve">to ensure that the transition to net zero </w:t>
      </w:r>
      <w:r w:rsidR="003B01F0" w:rsidRPr="00191D29">
        <w:rPr>
          <w:rFonts w:cs="Arial"/>
          <w:szCs w:val="22"/>
        </w:rPr>
        <w:t>by international shipping is equitable and global, for example</w:t>
      </w:r>
      <w:r w:rsidR="004C4367" w:rsidRPr="00191D29">
        <w:rPr>
          <w:rFonts w:cs="Arial"/>
          <w:szCs w:val="22"/>
        </w:rPr>
        <w:t xml:space="preserve">, </w:t>
      </w:r>
      <w:r w:rsidR="006C26AE" w:rsidRPr="00191D29">
        <w:rPr>
          <w:rFonts w:cs="Arial"/>
          <w:szCs w:val="22"/>
        </w:rPr>
        <w:t xml:space="preserve">by providing </w:t>
      </w:r>
      <w:r w:rsidR="004A5E4D" w:rsidRPr="00191D29">
        <w:rPr>
          <w:rFonts w:cs="Arial"/>
          <w:szCs w:val="22"/>
        </w:rPr>
        <w:t xml:space="preserve">support </w:t>
      </w:r>
      <w:r w:rsidR="003B01F0" w:rsidRPr="00191D29">
        <w:rPr>
          <w:rFonts w:cs="Arial"/>
          <w:szCs w:val="22"/>
        </w:rPr>
        <w:t xml:space="preserve">for the production of </w:t>
      </w:r>
      <w:r w:rsidR="00A52410" w:rsidRPr="00191D29">
        <w:rPr>
          <w:rFonts w:cs="Arial"/>
          <w:szCs w:val="22"/>
        </w:rPr>
        <w:t>zero/near-zero</w:t>
      </w:r>
      <w:r w:rsidR="003B01F0" w:rsidRPr="00191D29">
        <w:rPr>
          <w:rFonts w:cs="Arial"/>
          <w:szCs w:val="22"/>
        </w:rPr>
        <w:t xml:space="preserve"> </w:t>
      </w:r>
      <w:r w:rsidR="00A52410" w:rsidRPr="00191D29">
        <w:rPr>
          <w:rFonts w:cs="Arial"/>
          <w:szCs w:val="22"/>
        </w:rPr>
        <w:t xml:space="preserve">GHG </w:t>
      </w:r>
      <w:r w:rsidR="003B01F0" w:rsidRPr="00191D29">
        <w:rPr>
          <w:rFonts w:cs="Arial"/>
          <w:szCs w:val="22"/>
        </w:rPr>
        <w:t xml:space="preserve">marine fuels and the </w:t>
      </w:r>
      <w:r w:rsidR="0046107B" w:rsidRPr="00191D29">
        <w:rPr>
          <w:rFonts w:cs="Arial"/>
          <w:szCs w:val="22"/>
        </w:rPr>
        <w:t>provision</w:t>
      </w:r>
      <w:r w:rsidR="00EC60F7" w:rsidRPr="00191D29">
        <w:rPr>
          <w:rFonts w:cs="Arial"/>
          <w:szCs w:val="22"/>
        </w:rPr>
        <w:t xml:space="preserve"> of </w:t>
      </w:r>
      <w:r w:rsidR="003B01F0" w:rsidRPr="00191D29">
        <w:rPr>
          <w:rFonts w:cs="Arial"/>
          <w:szCs w:val="22"/>
        </w:rPr>
        <w:t xml:space="preserve">necessary bunkering infrastructure in </w:t>
      </w:r>
      <w:r w:rsidR="0046107B" w:rsidRPr="00191D29">
        <w:rPr>
          <w:rFonts w:cs="Arial"/>
          <w:szCs w:val="22"/>
        </w:rPr>
        <w:t xml:space="preserve">ports in </w:t>
      </w:r>
      <w:r w:rsidR="004A5E4D" w:rsidRPr="00191D29">
        <w:rPr>
          <w:rFonts w:cs="Arial"/>
          <w:szCs w:val="22"/>
        </w:rPr>
        <w:t>developing countrie</w:t>
      </w:r>
      <w:r w:rsidR="0046107B" w:rsidRPr="00191D29">
        <w:rPr>
          <w:rFonts w:cs="Arial"/>
          <w:szCs w:val="22"/>
        </w:rPr>
        <w:t>s.</w:t>
      </w:r>
    </w:p>
    <w:p w14:paraId="5F4224D1" w14:textId="77777777" w:rsidR="00DB00E6" w:rsidRPr="00191D29" w:rsidRDefault="00DB00E6" w:rsidP="002321D2">
      <w:pPr>
        <w:ind w:left="851" w:hanging="851"/>
        <w:rPr>
          <w:rFonts w:cs="Arial"/>
          <w:szCs w:val="22"/>
        </w:rPr>
      </w:pPr>
    </w:p>
    <w:p w14:paraId="065A69E9" w14:textId="7D15B41B" w:rsidR="00DB00E6" w:rsidRPr="00191D29" w:rsidRDefault="00186F94" w:rsidP="003E56AA">
      <w:pPr>
        <w:tabs>
          <w:tab w:val="clear" w:pos="851"/>
          <w:tab w:val="left" w:pos="0"/>
        </w:tabs>
        <w:rPr>
          <w:rFonts w:cs="Arial"/>
          <w:szCs w:val="22"/>
        </w:rPr>
      </w:pPr>
      <w:r w:rsidRPr="00191D29">
        <w:rPr>
          <w:rFonts w:cs="Arial"/>
          <w:szCs w:val="22"/>
        </w:rPr>
        <w:t>29</w:t>
      </w:r>
      <w:r w:rsidR="00FF4620" w:rsidRPr="00191D29">
        <w:rPr>
          <w:rFonts w:cs="Arial"/>
          <w:szCs w:val="22"/>
        </w:rPr>
        <w:tab/>
      </w:r>
      <w:r w:rsidR="00D570AC" w:rsidRPr="00191D29">
        <w:rPr>
          <w:rFonts w:cs="Arial"/>
          <w:szCs w:val="22"/>
        </w:rPr>
        <w:t>T</w:t>
      </w:r>
      <w:r w:rsidR="00DB00E6" w:rsidRPr="00191D29">
        <w:rPr>
          <w:rFonts w:cs="Arial"/>
          <w:szCs w:val="22"/>
        </w:rPr>
        <w:t>he following</w:t>
      </w:r>
      <w:r w:rsidR="00073DC6" w:rsidRPr="00191D29">
        <w:rPr>
          <w:rFonts w:cs="Arial"/>
          <w:szCs w:val="22"/>
        </w:rPr>
        <w:t xml:space="preserve"> zero and near</w:t>
      </w:r>
      <w:r w:rsidR="00F47328" w:rsidRPr="00191D29">
        <w:rPr>
          <w:rFonts w:cs="Arial"/>
          <w:szCs w:val="22"/>
        </w:rPr>
        <w:t>-</w:t>
      </w:r>
      <w:r w:rsidR="00073DC6" w:rsidRPr="00191D29">
        <w:rPr>
          <w:rFonts w:cs="Arial"/>
          <w:szCs w:val="22"/>
        </w:rPr>
        <w:t xml:space="preserve">zero </w:t>
      </w:r>
      <w:r w:rsidR="00F47328" w:rsidRPr="00191D29">
        <w:rPr>
          <w:rFonts w:cs="Arial"/>
          <w:szCs w:val="22"/>
        </w:rPr>
        <w:t xml:space="preserve">GHG </w:t>
      </w:r>
      <w:r w:rsidR="00073DC6" w:rsidRPr="00191D29">
        <w:rPr>
          <w:rFonts w:cs="Arial"/>
          <w:szCs w:val="22"/>
        </w:rPr>
        <w:t>fuel</w:t>
      </w:r>
      <w:r w:rsidR="00D570AC" w:rsidRPr="00191D29">
        <w:rPr>
          <w:rFonts w:cs="Arial"/>
          <w:szCs w:val="22"/>
        </w:rPr>
        <w:t>s</w:t>
      </w:r>
      <w:r w:rsidR="002F78C4">
        <w:rPr>
          <w:rFonts w:cs="Arial"/>
          <w:szCs w:val="22"/>
        </w:rPr>
        <w:t>, energy sources and technologies,</w:t>
      </w:r>
      <w:r w:rsidR="00DB00E6" w:rsidRPr="00191D29">
        <w:rPr>
          <w:rFonts w:cs="Arial"/>
          <w:szCs w:val="22"/>
        </w:rPr>
        <w:t xml:space="preserve"> would</w:t>
      </w:r>
      <w:r w:rsidR="008756ED">
        <w:rPr>
          <w:rFonts w:cs="Arial"/>
          <w:szCs w:val="22"/>
        </w:rPr>
        <w:t>, among others</w:t>
      </w:r>
      <w:r w:rsidR="00DE5361">
        <w:rPr>
          <w:rFonts w:cs="Arial"/>
          <w:szCs w:val="22"/>
        </w:rPr>
        <w:t>,</w:t>
      </w:r>
      <w:r w:rsidR="00DB00E6" w:rsidRPr="00191D29">
        <w:rPr>
          <w:rFonts w:cs="Arial"/>
          <w:szCs w:val="22"/>
        </w:rPr>
        <w:t xml:space="preserve"> be eligible for rewards </w:t>
      </w:r>
      <w:r w:rsidR="000B3D9E" w:rsidRPr="00191D29">
        <w:rPr>
          <w:rFonts w:cs="Arial"/>
          <w:szCs w:val="22"/>
        </w:rPr>
        <w:t>from the</w:t>
      </w:r>
      <w:r w:rsidR="00CF7702" w:rsidRPr="00191D29">
        <w:rPr>
          <w:rFonts w:cs="Arial"/>
          <w:szCs w:val="22"/>
        </w:rPr>
        <w:t xml:space="preserve"> </w:t>
      </w:r>
      <w:r w:rsidR="000B3D9E" w:rsidRPr="00191D29">
        <w:rPr>
          <w:rFonts w:cs="Arial"/>
          <w:szCs w:val="22"/>
        </w:rPr>
        <w:t xml:space="preserve">ZESF </w:t>
      </w:r>
      <w:r w:rsidR="00DB00E6" w:rsidRPr="00191D29">
        <w:rPr>
          <w:rFonts w:cs="Arial"/>
          <w:szCs w:val="22"/>
        </w:rPr>
        <w:t>per tonne of CO</w:t>
      </w:r>
      <w:r w:rsidR="00DB00E6" w:rsidRPr="00191D29">
        <w:rPr>
          <w:rFonts w:cs="Arial"/>
          <w:szCs w:val="22"/>
          <w:vertAlign w:val="subscript"/>
        </w:rPr>
        <w:t>2</w:t>
      </w:r>
      <w:r w:rsidR="00FF4620" w:rsidRPr="00191D29">
        <w:rPr>
          <w:rFonts w:cs="Arial"/>
          <w:szCs w:val="22"/>
        </w:rPr>
        <w:t>e prevented by their use</w:t>
      </w:r>
      <w:r w:rsidR="005931EA" w:rsidRPr="00191D29">
        <w:rPr>
          <w:rFonts w:cs="Arial"/>
          <w:szCs w:val="22"/>
        </w:rPr>
        <w:t xml:space="preserve">: </w:t>
      </w:r>
      <w:r w:rsidR="00577CF6" w:rsidRPr="00191D29">
        <w:rPr>
          <w:rFonts w:cs="Arial"/>
          <w:szCs w:val="22"/>
        </w:rPr>
        <w:t>sustainable biofuels (including blends),</w:t>
      </w:r>
      <w:r w:rsidR="00CF7702" w:rsidRPr="00191D29">
        <w:rPr>
          <w:rFonts w:cs="Arial"/>
          <w:szCs w:val="22"/>
        </w:rPr>
        <w:t xml:space="preserve"> </w:t>
      </w:r>
      <w:r w:rsidR="005931EA" w:rsidRPr="00191D29">
        <w:rPr>
          <w:rFonts w:cs="Arial"/>
          <w:szCs w:val="22"/>
        </w:rPr>
        <w:t>ammonia</w:t>
      </w:r>
      <w:r w:rsidR="00395017" w:rsidRPr="00191D29">
        <w:rPr>
          <w:rFonts w:cs="Arial"/>
          <w:szCs w:val="22"/>
        </w:rPr>
        <w:t xml:space="preserve">, </w:t>
      </w:r>
      <w:r w:rsidR="00577CF6" w:rsidRPr="00191D29">
        <w:rPr>
          <w:rFonts w:cs="Arial"/>
          <w:szCs w:val="22"/>
        </w:rPr>
        <w:t>hydrogen</w:t>
      </w:r>
      <w:r w:rsidR="00DE5361">
        <w:rPr>
          <w:rFonts w:cs="Arial"/>
          <w:szCs w:val="22"/>
        </w:rPr>
        <w:t>,</w:t>
      </w:r>
      <w:r w:rsidR="007477F5" w:rsidRPr="007477F5">
        <w:rPr>
          <w:rFonts w:cs="Arial"/>
          <w:szCs w:val="22"/>
        </w:rPr>
        <w:t xml:space="preserve"> </w:t>
      </w:r>
      <w:r w:rsidR="007477F5">
        <w:rPr>
          <w:rFonts w:cs="Arial"/>
          <w:szCs w:val="22"/>
        </w:rPr>
        <w:t xml:space="preserve">synthetic </w:t>
      </w:r>
      <w:r w:rsidR="007477F5" w:rsidRPr="00191D29">
        <w:rPr>
          <w:rFonts w:cs="Arial"/>
          <w:szCs w:val="22"/>
        </w:rPr>
        <w:t>methanol</w:t>
      </w:r>
      <w:r w:rsidR="007477F5">
        <w:rPr>
          <w:rFonts w:cs="Arial"/>
          <w:szCs w:val="22"/>
        </w:rPr>
        <w:t xml:space="preserve"> and</w:t>
      </w:r>
      <w:r w:rsidR="007477F5" w:rsidRPr="007477F5">
        <w:rPr>
          <w:rFonts w:cs="Arial"/>
          <w:szCs w:val="22"/>
        </w:rPr>
        <w:t xml:space="preserve"> </w:t>
      </w:r>
      <w:r w:rsidR="007477F5">
        <w:rPr>
          <w:rFonts w:cs="Arial"/>
          <w:szCs w:val="22"/>
        </w:rPr>
        <w:t xml:space="preserve">synthetic </w:t>
      </w:r>
      <w:r w:rsidR="008756ED">
        <w:rPr>
          <w:rFonts w:cs="Arial"/>
          <w:szCs w:val="22"/>
        </w:rPr>
        <w:t>LNG</w:t>
      </w:r>
      <w:r w:rsidR="00395017" w:rsidRPr="00191D29">
        <w:rPr>
          <w:rFonts w:cs="Arial"/>
          <w:szCs w:val="22"/>
        </w:rPr>
        <w:t>;</w:t>
      </w:r>
      <w:r w:rsidR="00577CF6" w:rsidRPr="00191D29">
        <w:rPr>
          <w:rFonts w:cs="Arial"/>
          <w:szCs w:val="22"/>
        </w:rPr>
        <w:t xml:space="preserve"> </w:t>
      </w:r>
      <w:r w:rsidR="00395017" w:rsidRPr="00191D29">
        <w:rPr>
          <w:rFonts w:cs="Arial"/>
          <w:szCs w:val="22"/>
        </w:rPr>
        <w:t xml:space="preserve">and </w:t>
      </w:r>
      <w:r w:rsidR="00220F45" w:rsidRPr="00191D29">
        <w:rPr>
          <w:rFonts w:cs="Arial"/>
          <w:szCs w:val="22"/>
        </w:rPr>
        <w:t xml:space="preserve">GHG reduction </w:t>
      </w:r>
      <w:r w:rsidR="00F47328" w:rsidRPr="00191D29">
        <w:rPr>
          <w:rFonts w:cs="Arial"/>
          <w:szCs w:val="22"/>
        </w:rPr>
        <w:t xml:space="preserve">technologies such as </w:t>
      </w:r>
      <w:r w:rsidR="00395017" w:rsidRPr="00191D29">
        <w:rPr>
          <w:rFonts w:cs="Arial"/>
          <w:szCs w:val="22"/>
        </w:rPr>
        <w:t xml:space="preserve">on board </w:t>
      </w:r>
      <w:r w:rsidR="00F47328" w:rsidRPr="00191D29">
        <w:rPr>
          <w:rFonts w:cs="Arial"/>
          <w:szCs w:val="22"/>
        </w:rPr>
        <w:t>carbon capture</w:t>
      </w:r>
      <w:r w:rsidR="006C758A" w:rsidRPr="00191D29">
        <w:rPr>
          <w:rFonts w:cs="Arial"/>
          <w:szCs w:val="22"/>
        </w:rPr>
        <w:t xml:space="preserve">. </w:t>
      </w:r>
      <w:r w:rsidR="001F0688" w:rsidRPr="00191D29">
        <w:rPr>
          <w:rFonts w:cs="Arial"/>
          <w:szCs w:val="22"/>
        </w:rPr>
        <w:t xml:space="preserve">Alternative energy sources could also be considered as eligible for rewards subject to further </w:t>
      </w:r>
      <w:r w:rsidR="00E90C60" w:rsidRPr="00191D29">
        <w:rPr>
          <w:rFonts w:cs="Arial"/>
          <w:szCs w:val="22"/>
        </w:rPr>
        <w:t>development of the LCA Guidelines</w:t>
      </w:r>
      <w:r w:rsidR="001F0688" w:rsidRPr="00191D29">
        <w:rPr>
          <w:rFonts w:cs="Arial"/>
          <w:szCs w:val="22"/>
        </w:rPr>
        <w:t xml:space="preserve">. </w:t>
      </w:r>
      <w:r w:rsidR="006C758A" w:rsidRPr="00191D29">
        <w:rPr>
          <w:rFonts w:cs="Arial"/>
          <w:szCs w:val="22"/>
        </w:rPr>
        <w:t>The reward rate per tonne of CO</w:t>
      </w:r>
      <w:r w:rsidR="006C758A" w:rsidRPr="00191D29">
        <w:rPr>
          <w:rFonts w:cs="Arial"/>
          <w:szCs w:val="22"/>
          <w:vertAlign w:val="subscript"/>
        </w:rPr>
        <w:t>2</w:t>
      </w:r>
      <w:r w:rsidR="00CA133A" w:rsidRPr="00191D29">
        <w:rPr>
          <w:rFonts w:cs="Arial"/>
          <w:szCs w:val="22"/>
        </w:rPr>
        <w:t>e</w:t>
      </w:r>
      <w:r w:rsidR="006C758A" w:rsidRPr="00191D29">
        <w:rPr>
          <w:rFonts w:cs="Arial"/>
          <w:szCs w:val="22"/>
          <w:vertAlign w:val="subscript"/>
        </w:rPr>
        <w:t xml:space="preserve"> </w:t>
      </w:r>
      <w:r w:rsidR="006C758A" w:rsidRPr="00191D29">
        <w:rPr>
          <w:rFonts w:cs="Arial"/>
          <w:szCs w:val="22"/>
        </w:rPr>
        <w:t xml:space="preserve">prevented would be the same </w:t>
      </w:r>
      <w:r w:rsidR="00517B86" w:rsidRPr="00191D29">
        <w:rPr>
          <w:rFonts w:cs="Arial"/>
          <w:szCs w:val="22"/>
        </w:rPr>
        <w:t xml:space="preserve">for </w:t>
      </w:r>
      <w:r w:rsidR="005B6F78" w:rsidRPr="00191D29">
        <w:rPr>
          <w:rFonts w:cs="Arial"/>
          <w:szCs w:val="22"/>
        </w:rPr>
        <w:t xml:space="preserve">all </w:t>
      </w:r>
      <w:r w:rsidR="00C17354" w:rsidRPr="00191D29">
        <w:rPr>
          <w:rFonts w:cs="Arial"/>
          <w:szCs w:val="22"/>
        </w:rPr>
        <w:t>zer</w:t>
      </w:r>
      <w:r w:rsidR="006C525F" w:rsidRPr="00191D29">
        <w:rPr>
          <w:rFonts w:cs="Arial"/>
          <w:szCs w:val="22"/>
        </w:rPr>
        <w:t>o</w:t>
      </w:r>
      <w:r w:rsidR="00C17354" w:rsidRPr="00191D29">
        <w:rPr>
          <w:rFonts w:cs="Arial"/>
          <w:szCs w:val="22"/>
        </w:rPr>
        <w:t>/near</w:t>
      </w:r>
      <w:r w:rsidR="00F357BA" w:rsidRPr="00191D29">
        <w:rPr>
          <w:rFonts w:cs="Arial"/>
          <w:szCs w:val="22"/>
        </w:rPr>
        <w:t>-</w:t>
      </w:r>
      <w:r w:rsidR="00C17354" w:rsidRPr="00191D29">
        <w:rPr>
          <w:rFonts w:cs="Arial"/>
          <w:szCs w:val="22"/>
        </w:rPr>
        <w:t xml:space="preserve">zero </w:t>
      </w:r>
      <w:r w:rsidR="006C525F" w:rsidRPr="00191D29">
        <w:rPr>
          <w:rFonts w:cs="Arial"/>
          <w:szCs w:val="22"/>
        </w:rPr>
        <w:t xml:space="preserve">GHG </w:t>
      </w:r>
      <w:r w:rsidR="00C17354" w:rsidRPr="00191D29">
        <w:rPr>
          <w:rFonts w:cs="Arial"/>
          <w:szCs w:val="22"/>
        </w:rPr>
        <w:t>f</w:t>
      </w:r>
      <w:r w:rsidR="00517B86" w:rsidRPr="00191D29">
        <w:rPr>
          <w:rFonts w:cs="Arial"/>
          <w:szCs w:val="22"/>
        </w:rPr>
        <w:t>uel</w:t>
      </w:r>
      <w:r w:rsidR="006C525F" w:rsidRPr="00191D29">
        <w:rPr>
          <w:rFonts w:cs="Arial"/>
          <w:szCs w:val="22"/>
        </w:rPr>
        <w:t>s</w:t>
      </w:r>
      <w:r w:rsidR="00517B86" w:rsidRPr="00191D29">
        <w:rPr>
          <w:rFonts w:cs="Arial"/>
          <w:szCs w:val="22"/>
        </w:rPr>
        <w:t xml:space="preserve"> and technologies</w:t>
      </w:r>
      <w:r w:rsidR="00D33308" w:rsidRPr="00191D29">
        <w:rPr>
          <w:rFonts w:cs="Arial"/>
          <w:szCs w:val="22"/>
        </w:rPr>
        <w:t xml:space="preserve">, </w:t>
      </w:r>
      <w:r w:rsidR="00B70551">
        <w:rPr>
          <w:rFonts w:cs="Arial"/>
          <w:szCs w:val="22"/>
        </w:rPr>
        <w:t xml:space="preserve">with rewards per tonne of fuel consumed </w:t>
      </w:r>
      <w:r w:rsidR="00D33308" w:rsidRPr="00191D29">
        <w:rPr>
          <w:rFonts w:cs="Arial"/>
          <w:szCs w:val="22"/>
        </w:rPr>
        <w:t xml:space="preserve">based on the </w:t>
      </w:r>
      <w:r w:rsidR="00CC0D15">
        <w:rPr>
          <w:rFonts w:cs="Arial"/>
          <w:szCs w:val="22"/>
        </w:rPr>
        <w:t>CO</w:t>
      </w:r>
      <w:r w:rsidR="00CC0D15" w:rsidRPr="00CC0D15">
        <w:rPr>
          <w:rFonts w:cs="Arial"/>
          <w:szCs w:val="22"/>
          <w:vertAlign w:val="subscript"/>
        </w:rPr>
        <w:t>2</w:t>
      </w:r>
      <w:r w:rsidR="00CC0D15">
        <w:rPr>
          <w:rFonts w:cs="Arial"/>
          <w:szCs w:val="22"/>
        </w:rPr>
        <w:t xml:space="preserve">e </w:t>
      </w:r>
      <w:r w:rsidR="00D33308" w:rsidRPr="00191D29">
        <w:rPr>
          <w:rFonts w:cs="Arial"/>
          <w:szCs w:val="22"/>
        </w:rPr>
        <w:t xml:space="preserve">conversion factors </w:t>
      </w:r>
      <w:r w:rsidR="00D64520">
        <w:rPr>
          <w:rFonts w:cs="Arial"/>
          <w:szCs w:val="22"/>
        </w:rPr>
        <w:t xml:space="preserve">and energy densities of fuels as </w:t>
      </w:r>
      <w:r w:rsidR="00523AC7" w:rsidRPr="00191D29">
        <w:rPr>
          <w:rFonts w:cs="Arial"/>
          <w:szCs w:val="22"/>
        </w:rPr>
        <w:t xml:space="preserve">determined by the LCA Guidelines </w:t>
      </w:r>
      <w:r w:rsidR="006C525F" w:rsidRPr="00191D29">
        <w:rPr>
          <w:rFonts w:cs="Arial"/>
          <w:szCs w:val="22"/>
        </w:rPr>
        <w:t>(</w:t>
      </w:r>
      <w:r w:rsidR="00CF7702" w:rsidRPr="00191D29">
        <w:rPr>
          <w:rFonts w:cs="Arial"/>
          <w:szCs w:val="22"/>
        </w:rPr>
        <w:t>resolution MEPC.376(80)</w:t>
      </w:r>
      <w:r w:rsidR="0004783C" w:rsidRPr="00191D29">
        <w:rPr>
          <w:rFonts w:cs="Arial"/>
          <w:szCs w:val="22"/>
        </w:rPr>
        <w:t>,</w:t>
      </w:r>
      <w:r w:rsidR="00E157C1" w:rsidRPr="00191D29">
        <w:rPr>
          <w:rFonts w:cs="Arial"/>
          <w:szCs w:val="22"/>
        </w:rPr>
        <w:t xml:space="preserve"> as may be amended</w:t>
      </w:r>
      <w:r w:rsidR="0039276B" w:rsidRPr="00191D29">
        <w:rPr>
          <w:rFonts w:cs="Arial"/>
          <w:szCs w:val="22"/>
        </w:rPr>
        <w:t>)</w:t>
      </w:r>
      <w:r w:rsidR="00E157C1" w:rsidRPr="00191D29">
        <w:rPr>
          <w:rFonts w:cs="Arial"/>
          <w:szCs w:val="22"/>
        </w:rPr>
        <w:t>.</w:t>
      </w:r>
    </w:p>
    <w:p w14:paraId="35DC3681" w14:textId="77777777" w:rsidR="00AA4DC5" w:rsidRPr="00191D29" w:rsidRDefault="00AA4DC5" w:rsidP="00AA4DC5">
      <w:pPr>
        <w:tabs>
          <w:tab w:val="clear" w:pos="851"/>
        </w:tabs>
        <w:rPr>
          <w:rFonts w:cs="Arial"/>
          <w:szCs w:val="22"/>
        </w:rPr>
      </w:pPr>
    </w:p>
    <w:p w14:paraId="143FB9AA" w14:textId="53CC3B0D" w:rsidR="00202168" w:rsidRPr="00191D29" w:rsidRDefault="00186F94" w:rsidP="007948BD">
      <w:pPr>
        <w:tabs>
          <w:tab w:val="clear" w:pos="851"/>
        </w:tabs>
      </w:pPr>
      <w:r w:rsidRPr="00191D29">
        <w:rPr>
          <w:rFonts w:cs="Arial"/>
          <w:szCs w:val="22"/>
        </w:rPr>
        <w:t>30</w:t>
      </w:r>
      <w:r w:rsidR="00143146" w:rsidRPr="00191D29">
        <w:rPr>
          <w:rFonts w:cs="Arial"/>
          <w:szCs w:val="22"/>
        </w:rPr>
        <w:tab/>
      </w:r>
      <w:r w:rsidR="00D26380" w:rsidRPr="00191D29">
        <w:rPr>
          <w:rFonts w:cs="Arial"/>
          <w:szCs w:val="22"/>
        </w:rPr>
        <w:t xml:space="preserve">The </w:t>
      </w:r>
      <w:r w:rsidR="005C3985" w:rsidRPr="00191D29">
        <w:rPr>
          <w:rFonts w:cs="Arial"/>
          <w:szCs w:val="22"/>
        </w:rPr>
        <w:t xml:space="preserve">regulatory </w:t>
      </w:r>
      <w:r w:rsidR="00D26380" w:rsidRPr="00191D29">
        <w:rPr>
          <w:rFonts w:cs="Arial"/>
          <w:szCs w:val="22"/>
        </w:rPr>
        <w:t xml:space="preserve">architecture of the </w:t>
      </w:r>
      <w:r w:rsidR="005C3985" w:rsidRPr="00191D29">
        <w:rPr>
          <w:rFonts w:cs="Arial"/>
          <w:szCs w:val="22"/>
        </w:rPr>
        <w:t xml:space="preserve">contribution and reward </w:t>
      </w:r>
      <w:r w:rsidR="00387D4C" w:rsidRPr="00191D29">
        <w:rPr>
          <w:rFonts w:cs="Arial"/>
          <w:szCs w:val="22"/>
        </w:rPr>
        <w:t xml:space="preserve">(feebate) </w:t>
      </w:r>
      <w:r w:rsidR="005C3985" w:rsidRPr="00191D29">
        <w:rPr>
          <w:rFonts w:cs="Arial"/>
          <w:szCs w:val="22"/>
        </w:rPr>
        <w:t>system</w:t>
      </w:r>
      <w:r w:rsidR="00B14793" w:rsidRPr="00191D29">
        <w:rPr>
          <w:rFonts w:cs="Arial"/>
          <w:szCs w:val="22"/>
        </w:rPr>
        <w:t xml:space="preserve">, which uses a flat rate </w:t>
      </w:r>
      <w:r w:rsidR="0098158D" w:rsidRPr="00191D29">
        <w:rPr>
          <w:rFonts w:cs="Arial"/>
          <w:szCs w:val="22"/>
        </w:rPr>
        <w:t xml:space="preserve">contribution </w:t>
      </w:r>
      <w:r w:rsidR="00DF043C" w:rsidRPr="00191D29">
        <w:rPr>
          <w:rFonts w:cs="Arial"/>
          <w:szCs w:val="22"/>
        </w:rPr>
        <w:t>mechanism,</w:t>
      </w:r>
      <w:r w:rsidR="005C3985" w:rsidRPr="00191D29">
        <w:rPr>
          <w:rFonts w:cs="Arial"/>
          <w:szCs w:val="22"/>
        </w:rPr>
        <w:t xml:space="preserve"> continues </w:t>
      </w:r>
      <w:r w:rsidR="00AB5227" w:rsidRPr="00191D29">
        <w:rPr>
          <w:rFonts w:cs="Arial"/>
          <w:szCs w:val="22"/>
        </w:rPr>
        <w:t xml:space="preserve">to </w:t>
      </w:r>
      <w:r w:rsidR="005C3985" w:rsidRPr="00191D29">
        <w:rPr>
          <w:rFonts w:cs="Arial"/>
          <w:szCs w:val="22"/>
        </w:rPr>
        <w:t xml:space="preserve">be based on that initially proposed for </w:t>
      </w:r>
      <w:r w:rsidR="003B77DD" w:rsidRPr="00191D29">
        <w:rPr>
          <w:rFonts w:cs="Arial"/>
          <w:szCs w:val="22"/>
        </w:rPr>
        <w:t xml:space="preserve">what was then called </w:t>
      </w:r>
      <w:r w:rsidR="005C3985" w:rsidRPr="00191D29">
        <w:rPr>
          <w:rFonts w:cs="Arial"/>
          <w:szCs w:val="22"/>
        </w:rPr>
        <w:t xml:space="preserve">the </w:t>
      </w:r>
      <w:r w:rsidR="00DF043C" w:rsidRPr="00191D29">
        <w:rPr>
          <w:rFonts w:cs="Arial"/>
          <w:szCs w:val="22"/>
        </w:rPr>
        <w:t>IMRF</w:t>
      </w:r>
      <w:r w:rsidR="006A4C6E" w:rsidRPr="00191D29">
        <w:rPr>
          <w:rFonts w:cs="Arial"/>
          <w:szCs w:val="22"/>
        </w:rPr>
        <w:t xml:space="preserve"> </w:t>
      </w:r>
      <w:r w:rsidR="007B522A" w:rsidRPr="00191D29">
        <w:rPr>
          <w:rFonts w:cs="Arial"/>
          <w:szCs w:val="22"/>
        </w:rPr>
        <w:t xml:space="preserve">which </w:t>
      </w:r>
      <w:r w:rsidR="00010334" w:rsidRPr="00191D29">
        <w:rPr>
          <w:rFonts w:cs="Arial"/>
          <w:szCs w:val="22"/>
        </w:rPr>
        <w:t>ach</w:t>
      </w:r>
      <w:r w:rsidR="001C26AF" w:rsidRPr="00191D29">
        <w:rPr>
          <w:rFonts w:cs="Arial"/>
          <w:szCs w:val="22"/>
        </w:rPr>
        <w:t>ieved</w:t>
      </w:r>
      <w:r w:rsidR="00010334" w:rsidRPr="00191D29">
        <w:rPr>
          <w:rFonts w:cs="Arial"/>
          <w:szCs w:val="22"/>
        </w:rPr>
        <w:t xml:space="preserve"> </w:t>
      </w:r>
      <w:r w:rsidR="00A46294" w:rsidRPr="00191D29">
        <w:rPr>
          <w:rFonts w:cs="Arial"/>
          <w:szCs w:val="22"/>
        </w:rPr>
        <w:t xml:space="preserve">significant support from </w:t>
      </w:r>
      <w:r w:rsidR="00267A91" w:rsidRPr="00191D29">
        <w:rPr>
          <w:rFonts w:cs="Arial"/>
          <w:szCs w:val="22"/>
        </w:rPr>
        <w:t xml:space="preserve">a </w:t>
      </w:r>
      <w:r w:rsidR="00D423EB" w:rsidRPr="00191D29">
        <w:rPr>
          <w:rFonts w:cs="Arial"/>
          <w:szCs w:val="22"/>
        </w:rPr>
        <w:t>wide range of Member State</w:t>
      </w:r>
      <w:r w:rsidR="00F46EBD" w:rsidRPr="00191D29">
        <w:rPr>
          <w:rFonts w:cs="Arial"/>
          <w:szCs w:val="22"/>
        </w:rPr>
        <w:t>s at MEPC 7</w:t>
      </w:r>
      <w:r w:rsidR="001F7252" w:rsidRPr="00191D29">
        <w:rPr>
          <w:rFonts w:cs="Arial"/>
          <w:szCs w:val="22"/>
        </w:rPr>
        <w:t>8</w:t>
      </w:r>
      <w:r w:rsidR="006A4C6E" w:rsidRPr="00191D29">
        <w:rPr>
          <w:rFonts w:cs="Arial"/>
          <w:szCs w:val="22"/>
        </w:rPr>
        <w:t>,</w:t>
      </w:r>
      <w:r w:rsidR="00BF7B13" w:rsidRPr="00191D29">
        <w:rPr>
          <w:rFonts w:cs="Arial"/>
          <w:szCs w:val="22"/>
        </w:rPr>
        <w:t xml:space="preserve"> </w:t>
      </w:r>
      <w:r w:rsidR="00F46EBD" w:rsidRPr="00191D29">
        <w:rPr>
          <w:rFonts w:cs="Arial"/>
          <w:szCs w:val="22"/>
        </w:rPr>
        <w:t>in addition to th</w:t>
      </w:r>
      <w:r w:rsidR="006A4C6E" w:rsidRPr="00191D29">
        <w:rPr>
          <w:rFonts w:cs="Arial"/>
          <w:szCs w:val="22"/>
        </w:rPr>
        <w:t>e</w:t>
      </w:r>
      <w:r w:rsidR="00F46EBD" w:rsidRPr="00191D29">
        <w:rPr>
          <w:rFonts w:cs="Arial"/>
          <w:szCs w:val="22"/>
        </w:rPr>
        <w:t xml:space="preserve"> co-sponsors </w:t>
      </w:r>
      <w:r w:rsidR="00156072" w:rsidRPr="00191D29">
        <w:rPr>
          <w:rFonts w:cs="Arial"/>
          <w:szCs w:val="22"/>
        </w:rPr>
        <w:t>of document MEPC 7</w:t>
      </w:r>
      <w:r w:rsidR="005912E5" w:rsidRPr="00191D29">
        <w:rPr>
          <w:rFonts w:cs="Arial"/>
          <w:szCs w:val="22"/>
        </w:rPr>
        <w:t>6</w:t>
      </w:r>
      <w:r w:rsidR="00156072" w:rsidRPr="00191D29">
        <w:rPr>
          <w:rFonts w:cs="Arial"/>
          <w:szCs w:val="22"/>
        </w:rPr>
        <w:t>/7/</w:t>
      </w:r>
      <w:r w:rsidR="005912E5" w:rsidRPr="00191D29">
        <w:rPr>
          <w:rFonts w:cs="Arial"/>
          <w:szCs w:val="22"/>
        </w:rPr>
        <w:t>7</w:t>
      </w:r>
      <w:r w:rsidR="00D32DFD" w:rsidRPr="00191D29">
        <w:rPr>
          <w:rFonts w:cs="Arial"/>
          <w:szCs w:val="22"/>
        </w:rPr>
        <w:t xml:space="preserve"> (Denmark et al.)</w:t>
      </w:r>
      <w:r w:rsidR="006A4C6E" w:rsidRPr="00191D29">
        <w:rPr>
          <w:rFonts w:cs="Arial"/>
          <w:szCs w:val="22"/>
        </w:rPr>
        <w:t>,</w:t>
      </w:r>
      <w:r w:rsidR="00BF7B13" w:rsidRPr="00191D29">
        <w:rPr>
          <w:rFonts w:cs="Arial"/>
          <w:szCs w:val="22"/>
        </w:rPr>
        <w:t xml:space="preserve"> </w:t>
      </w:r>
      <w:r w:rsidR="00040C50" w:rsidRPr="00191D29">
        <w:rPr>
          <w:rFonts w:cs="Arial"/>
          <w:szCs w:val="22"/>
        </w:rPr>
        <w:t xml:space="preserve">and which </w:t>
      </w:r>
      <w:r w:rsidR="0059691E" w:rsidRPr="00191D29">
        <w:rPr>
          <w:rFonts w:cs="Arial"/>
          <w:szCs w:val="22"/>
        </w:rPr>
        <w:t xml:space="preserve">also </w:t>
      </w:r>
      <w:r w:rsidR="007F1FF3" w:rsidRPr="00191D29">
        <w:rPr>
          <w:rFonts w:cs="Arial"/>
          <w:szCs w:val="22"/>
        </w:rPr>
        <w:t>form</w:t>
      </w:r>
      <w:r w:rsidR="0051042B" w:rsidRPr="00191D29">
        <w:rPr>
          <w:rFonts w:cs="Arial"/>
          <w:szCs w:val="22"/>
        </w:rPr>
        <w:t>s</w:t>
      </w:r>
      <w:r w:rsidR="007F1FF3" w:rsidRPr="00191D29">
        <w:rPr>
          <w:rFonts w:cs="Arial"/>
          <w:szCs w:val="22"/>
        </w:rPr>
        <w:t xml:space="preserve"> </w:t>
      </w:r>
      <w:r w:rsidR="0059691E" w:rsidRPr="00191D29">
        <w:rPr>
          <w:rFonts w:cs="Arial"/>
          <w:szCs w:val="22"/>
        </w:rPr>
        <w:t>the basis of proposals by the Marsh</w:t>
      </w:r>
      <w:r w:rsidR="00F5369D" w:rsidRPr="00191D29">
        <w:rPr>
          <w:rFonts w:cs="Arial"/>
          <w:szCs w:val="22"/>
        </w:rPr>
        <w:t xml:space="preserve">all Islands </w:t>
      </w:r>
      <w:r w:rsidR="009D7823" w:rsidRPr="00191D29">
        <w:rPr>
          <w:rFonts w:cs="Arial"/>
          <w:szCs w:val="22"/>
        </w:rPr>
        <w:t xml:space="preserve">and Solomon Islands </w:t>
      </w:r>
      <w:r w:rsidR="00624773" w:rsidRPr="00191D29">
        <w:rPr>
          <w:rFonts w:cs="Arial"/>
          <w:szCs w:val="22"/>
        </w:rPr>
        <w:t xml:space="preserve">for </w:t>
      </w:r>
      <w:r w:rsidR="007F1FF3" w:rsidRPr="00191D29">
        <w:rPr>
          <w:rFonts w:cs="Arial"/>
          <w:szCs w:val="22"/>
        </w:rPr>
        <w:t xml:space="preserve">a </w:t>
      </w:r>
      <w:r w:rsidR="00624773" w:rsidRPr="00191D29">
        <w:t>flat rate contribution system using a mechanism similar to that proposed for the IMR</w:t>
      </w:r>
      <w:r w:rsidR="00CA42B5" w:rsidRPr="00191D29">
        <w:t>F.</w:t>
      </w:r>
      <w:r w:rsidR="00EB2BDA" w:rsidRPr="00191D29">
        <w:t xml:space="preserve"> </w:t>
      </w:r>
    </w:p>
    <w:p w14:paraId="1C47DD93" w14:textId="77777777" w:rsidR="00202168" w:rsidRPr="00191D29" w:rsidRDefault="00202168" w:rsidP="007948BD">
      <w:pPr>
        <w:tabs>
          <w:tab w:val="clear" w:pos="851"/>
        </w:tabs>
      </w:pPr>
    </w:p>
    <w:p w14:paraId="42952C3F" w14:textId="4C693A6C" w:rsidR="00516454" w:rsidRPr="00191D29" w:rsidRDefault="00186F94" w:rsidP="007948BD">
      <w:pPr>
        <w:tabs>
          <w:tab w:val="clear" w:pos="851"/>
        </w:tabs>
      </w:pPr>
      <w:r w:rsidRPr="00191D29">
        <w:t>31</w:t>
      </w:r>
      <w:r w:rsidR="000471B9" w:rsidRPr="00191D29">
        <w:tab/>
      </w:r>
      <w:r w:rsidR="008D4AB2" w:rsidRPr="00191D29">
        <w:t xml:space="preserve">Contributions by ships to the </w:t>
      </w:r>
      <w:r w:rsidR="00E664F4" w:rsidRPr="00191D29">
        <w:t xml:space="preserve">Zero Emission </w:t>
      </w:r>
      <w:r w:rsidR="00AF20DB" w:rsidRPr="00191D29">
        <w:t xml:space="preserve">Shipping </w:t>
      </w:r>
      <w:r w:rsidR="00E664F4" w:rsidRPr="00191D29">
        <w:t>Fund</w:t>
      </w:r>
      <w:r w:rsidR="00282A7D" w:rsidRPr="00191D29">
        <w:t>,</w:t>
      </w:r>
      <w:r w:rsidR="00E664F4" w:rsidRPr="00191D29">
        <w:t xml:space="preserve"> </w:t>
      </w:r>
      <w:r w:rsidR="003340C7" w:rsidRPr="00191D29">
        <w:t xml:space="preserve">and rewards </w:t>
      </w:r>
      <w:r w:rsidR="00981447" w:rsidRPr="00191D29">
        <w:t xml:space="preserve">to ships </w:t>
      </w:r>
      <w:r w:rsidR="003340C7" w:rsidRPr="00191D29">
        <w:t>for the CO</w:t>
      </w:r>
      <w:r w:rsidR="003340C7" w:rsidRPr="00191D29">
        <w:rPr>
          <w:vertAlign w:val="subscript"/>
        </w:rPr>
        <w:t>2</w:t>
      </w:r>
      <w:r w:rsidR="003340C7" w:rsidRPr="00191D29">
        <w:t xml:space="preserve">e emissions prevented by the use </w:t>
      </w:r>
      <w:r w:rsidR="00294023" w:rsidRPr="00191D29">
        <w:t>of zero/near-zero GHG fuels</w:t>
      </w:r>
      <w:r w:rsidR="00282A7D" w:rsidRPr="00191D29">
        <w:t>,</w:t>
      </w:r>
      <w:r w:rsidR="00294023" w:rsidRPr="00191D29">
        <w:t xml:space="preserve"> </w:t>
      </w:r>
      <w:r w:rsidR="00E664F4" w:rsidRPr="00191D29">
        <w:t xml:space="preserve">would be calculated using fuel consumption data </w:t>
      </w:r>
      <w:r w:rsidR="004261AC" w:rsidRPr="00191D29">
        <w:t xml:space="preserve">already reported to Administrations and </w:t>
      </w:r>
      <w:r w:rsidR="00684061" w:rsidRPr="00191D29">
        <w:t>IMO</w:t>
      </w:r>
      <w:r w:rsidR="004261AC" w:rsidRPr="00191D29">
        <w:t xml:space="preserve"> </w:t>
      </w:r>
      <w:r w:rsidR="002656D3" w:rsidRPr="00191D29">
        <w:t xml:space="preserve">using </w:t>
      </w:r>
      <w:r w:rsidR="00684061" w:rsidRPr="00191D29">
        <w:t xml:space="preserve">the existing </w:t>
      </w:r>
      <w:r w:rsidR="002656D3" w:rsidRPr="00191D29">
        <w:lastRenderedPageBreak/>
        <w:t>Fuel Oil Data Collection System</w:t>
      </w:r>
      <w:r w:rsidR="00684061" w:rsidRPr="00191D29">
        <w:t xml:space="preserve"> (DCS)</w:t>
      </w:r>
      <w:r w:rsidR="00DD637C" w:rsidRPr="00191D29">
        <w:t>.</w:t>
      </w:r>
      <w:r w:rsidR="002656D3" w:rsidRPr="00191D29">
        <w:t xml:space="preserve"> </w:t>
      </w:r>
      <w:r w:rsidR="00180A4F" w:rsidRPr="00191D29">
        <w:t xml:space="preserve">The contribution and reward </w:t>
      </w:r>
      <w:r w:rsidR="007123C5" w:rsidRPr="00191D29">
        <w:t xml:space="preserve">system </w:t>
      </w:r>
      <w:r w:rsidR="00621BCE" w:rsidRPr="00191D29">
        <w:t xml:space="preserve">would be fully automated </w:t>
      </w:r>
      <w:r w:rsidR="00912BD3" w:rsidRPr="00191D29">
        <w:t xml:space="preserve">and </w:t>
      </w:r>
      <w:r w:rsidR="00154096" w:rsidRPr="00191D29">
        <w:t xml:space="preserve">a </w:t>
      </w:r>
      <w:r w:rsidR="00621BCE" w:rsidRPr="00191D29">
        <w:t>working pr</w:t>
      </w:r>
      <w:r w:rsidR="00912BD3" w:rsidRPr="00191D29">
        <w:t xml:space="preserve">ototype of </w:t>
      </w:r>
      <w:r w:rsidR="00F94F0C" w:rsidRPr="00191D29">
        <w:t xml:space="preserve">a website based </w:t>
      </w:r>
      <w:r w:rsidR="00912BD3" w:rsidRPr="00191D29">
        <w:t xml:space="preserve">system has been submitted </w:t>
      </w:r>
      <w:r w:rsidR="000471B9" w:rsidRPr="00191D29">
        <w:t xml:space="preserve">by ICS </w:t>
      </w:r>
      <w:r w:rsidR="00154096" w:rsidRPr="00191D29">
        <w:t xml:space="preserve">to this session </w:t>
      </w:r>
      <w:r w:rsidR="00912BD3" w:rsidRPr="00191D29">
        <w:t xml:space="preserve">as document ISWG-GHG </w:t>
      </w:r>
      <w:r w:rsidR="00912BD3" w:rsidRPr="0007655D">
        <w:t>16/2</w:t>
      </w:r>
      <w:r w:rsidR="00154096" w:rsidRPr="0007655D">
        <w:t>/</w:t>
      </w:r>
      <w:r w:rsidR="0007655D" w:rsidRPr="0007655D">
        <w:t>1</w:t>
      </w:r>
      <w:r w:rsidR="00912BD3" w:rsidRPr="0007655D">
        <w:t>.</w:t>
      </w:r>
      <w:r w:rsidR="00912BD3" w:rsidRPr="00191D29">
        <w:t xml:space="preserve"> </w:t>
      </w:r>
      <w:r w:rsidR="00621BCE" w:rsidRPr="00191D29">
        <w:t xml:space="preserve"> </w:t>
      </w:r>
    </w:p>
    <w:p w14:paraId="4B0832F3" w14:textId="77777777" w:rsidR="00516454" w:rsidRPr="00191D29" w:rsidRDefault="00516454" w:rsidP="007948BD">
      <w:pPr>
        <w:tabs>
          <w:tab w:val="clear" w:pos="851"/>
        </w:tabs>
      </w:pPr>
    </w:p>
    <w:p w14:paraId="3DCACC4D" w14:textId="5C63CB28" w:rsidR="000A45AC" w:rsidRPr="00191D29" w:rsidRDefault="00186F94" w:rsidP="00AA4DC5">
      <w:pPr>
        <w:tabs>
          <w:tab w:val="clear" w:pos="851"/>
        </w:tabs>
        <w:rPr>
          <w:rFonts w:cs="Arial"/>
          <w:szCs w:val="22"/>
        </w:rPr>
        <w:sectPr w:rsidR="000A45AC" w:rsidRPr="00191D29" w:rsidSect="00DF3E2F">
          <w:headerReference w:type="even" r:id="rId18"/>
          <w:headerReference w:type="default" r:id="rId19"/>
          <w:footnotePr>
            <w:numRestart w:val="eachSect"/>
          </w:footnotePr>
          <w:type w:val="continuous"/>
          <w:pgSz w:w="11906" w:h="16838"/>
          <w:pgMar w:top="1440" w:right="1440" w:bottom="1440" w:left="1440" w:header="709" w:footer="709" w:gutter="0"/>
          <w:pgNumType w:start="1"/>
          <w:cols w:space="708"/>
          <w:titlePg/>
          <w:docGrid w:linePitch="360"/>
        </w:sectPr>
      </w:pPr>
      <w:r w:rsidRPr="00191D29">
        <w:t>32</w:t>
      </w:r>
      <w:r w:rsidR="00516454" w:rsidRPr="00191D29">
        <w:tab/>
      </w:r>
      <w:r w:rsidR="00DD637C" w:rsidRPr="00191D29">
        <w:t>T</w:t>
      </w:r>
      <w:r w:rsidR="002656D3" w:rsidRPr="00191D29">
        <w:t xml:space="preserve">he </w:t>
      </w:r>
      <w:r w:rsidR="000471B9" w:rsidRPr="00191D29">
        <w:t xml:space="preserve">additional </w:t>
      </w:r>
      <w:r w:rsidR="002656D3" w:rsidRPr="00191D29">
        <w:t xml:space="preserve">administrative burden on </w:t>
      </w:r>
      <w:r w:rsidR="00CD7B26" w:rsidRPr="00191D29">
        <w:t xml:space="preserve">Administrations </w:t>
      </w:r>
      <w:r w:rsidR="000F0FD7" w:rsidRPr="00191D29">
        <w:t xml:space="preserve">(and the Organization) </w:t>
      </w:r>
      <w:r w:rsidR="00DD637C" w:rsidRPr="00191D29">
        <w:t xml:space="preserve">would be minimal </w:t>
      </w:r>
      <w:r w:rsidR="00CD7B26" w:rsidRPr="00191D29">
        <w:t xml:space="preserve">compared to alternative proposals for </w:t>
      </w:r>
      <w:r w:rsidR="00541D75" w:rsidRPr="00191D29">
        <w:t xml:space="preserve">a </w:t>
      </w:r>
      <w:r w:rsidR="00CD7B26" w:rsidRPr="00191D29">
        <w:t xml:space="preserve">GHG pricing </w:t>
      </w:r>
      <w:r w:rsidR="00541D75" w:rsidRPr="00191D29">
        <w:t>mechan</w:t>
      </w:r>
      <w:r w:rsidR="00293D52" w:rsidRPr="00191D29">
        <w:t>ism</w:t>
      </w:r>
      <w:r w:rsidR="003D1A11" w:rsidRPr="00191D29">
        <w:t>.</w:t>
      </w:r>
      <w:r w:rsidR="00293D52" w:rsidRPr="00191D29">
        <w:t xml:space="preserve"> </w:t>
      </w:r>
      <w:r w:rsidR="00EB25C1" w:rsidRPr="00191D29">
        <w:t>All that would be required of Administrations would be to issue the ship with a Statement of Compliance</w:t>
      </w:r>
      <w:r w:rsidR="000F0FD7" w:rsidRPr="00191D29">
        <w:t xml:space="preserve"> confirming, based on information provided </w:t>
      </w:r>
      <w:r w:rsidR="00F46B93" w:rsidRPr="00191D29">
        <w:t xml:space="preserve">to the ship </w:t>
      </w:r>
      <w:r w:rsidR="000F0FD7" w:rsidRPr="00191D29">
        <w:t>by the ZESF</w:t>
      </w:r>
      <w:r w:rsidR="003D1A11" w:rsidRPr="00191D29">
        <w:t>,</w:t>
      </w:r>
      <w:r w:rsidR="00702804" w:rsidRPr="00191D29">
        <w:t xml:space="preserve"> that required contributions by </w:t>
      </w:r>
      <w:r w:rsidR="005433F1" w:rsidRPr="00191D29">
        <w:t xml:space="preserve">the </w:t>
      </w:r>
      <w:r w:rsidR="00702804" w:rsidRPr="00191D29">
        <w:t xml:space="preserve">ship have been made </w:t>
      </w:r>
      <w:r w:rsidR="00C44FFD" w:rsidRPr="00191D29">
        <w:t xml:space="preserve">during the previous calendar year, </w:t>
      </w:r>
      <w:r w:rsidR="00EB25C1" w:rsidRPr="00191D29">
        <w:t>which would be used as the primary means of demonstrating compliance to port State control.</w:t>
      </w:r>
    </w:p>
    <w:p w14:paraId="57A37CFD" w14:textId="77777777" w:rsidR="003E727E" w:rsidRPr="00191D29" w:rsidRDefault="003E727E" w:rsidP="00AA4DC5">
      <w:pPr>
        <w:tabs>
          <w:tab w:val="clear" w:pos="851"/>
        </w:tabs>
        <w:rPr>
          <w:rFonts w:cs="Arial"/>
          <w:b/>
          <w:bCs/>
          <w:szCs w:val="22"/>
        </w:rPr>
      </w:pPr>
    </w:p>
    <w:p w14:paraId="3B63E314" w14:textId="142E84A5" w:rsidR="00587D38" w:rsidRPr="00191D29" w:rsidRDefault="000D1CF5" w:rsidP="00AA4DC5">
      <w:pPr>
        <w:tabs>
          <w:tab w:val="clear" w:pos="851"/>
        </w:tabs>
        <w:rPr>
          <w:rFonts w:cs="Arial"/>
          <w:b/>
          <w:bCs/>
          <w:szCs w:val="22"/>
        </w:rPr>
      </w:pPr>
      <w:r w:rsidRPr="00191D29">
        <w:rPr>
          <w:rFonts w:cs="Arial"/>
          <w:b/>
          <w:bCs/>
          <w:szCs w:val="22"/>
        </w:rPr>
        <w:t xml:space="preserve">THE ADVANTAGES OF A FUND AND REWARD (FEEBATE) MECHANISM </w:t>
      </w:r>
    </w:p>
    <w:p w14:paraId="04D0E738" w14:textId="77777777" w:rsidR="00587D38" w:rsidRPr="00191D29" w:rsidRDefault="00587D38" w:rsidP="00AA4DC5">
      <w:pPr>
        <w:tabs>
          <w:tab w:val="clear" w:pos="851"/>
        </w:tabs>
        <w:rPr>
          <w:rFonts w:cs="Arial"/>
          <w:b/>
          <w:bCs/>
          <w:szCs w:val="22"/>
        </w:rPr>
      </w:pPr>
    </w:p>
    <w:p w14:paraId="0AD15EBF" w14:textId="363E560F" w:rsidR="00344B65" w:rsidRPr="00191D29" w:rsidRDefault="00D8191A" w:rsidP="00AA4DC5">
      <w:pPr>
        <w:tabs>
          <w:tab w:val="clear" w:pos="851"/>
        </w:tabs>
        <w:rPr>
          <w:rFonts w:cs="Arial"/>
          <w:b/>
          <w:bCs/>
          <w:szCs w:val="22"/>
        </w:rPr>
      </w:pPr>
      <w:r w:rsidRPr="00191D29">
        <w:rPr>
          <w:rFonts w:cs="Arial"/>
          <w:b/>
          <w:bCs/>
          <w:szCs w:val="22"/>
        </w:rPr>
        <w:t>Reward element will m</w:t>
      </w:r>
      <w:r w:rsidR="006025F0" w:rsidRPr="00191D29">
        <w:rPr>
          <w:rFonts w:cs="Arial"/>
          <w:b/>
          <w:bCs/>
          <w:szCs w:val="22"/>
        </w:rPr>
        <w:t xml:space="preserve">ultiply the </w:t>
      </w:r>
      <w:r w:rsidR="00270336" w:rsidRPr="00191D29">
        <w:rPr>
          <w:rFonts w:cs="Arial"/>
          <w:b/>
          <w:bCs/>
          <w:szCs w:val="22"/>
        </w:rPr>
        <w:t xml:space="preserve">effect </w:t>
      </w:r>
      <w:r w:rsidR="00B707FE" w:rsidRPr="00191D29">
        <w:rPr>
          <w:rFonts w:cs="Arial"/>
          <w:b/>
          <w:bCs/>
          <w:szCs w:val="22"/>
        </w:rPr>
        <w:t xml:space="preserve">of the contribution quantum </w:t>
      </w:r>
      <w:r w:rsidR="00755B63" w:rsidRPr="00191D29">
        <w:rPr>
          <w:rFonts w:cs="Arial"/>
          <w:b/>
          <w:bCs/>
          <w:szCs w:val="22"/>
        </w:rPr>
        <w:t>on reducing</w:t>
      </w:r>
      <w:r w:rsidR="00587D38" w:rsidRPr="00191D29">
        <w:rPr>
          <w:rFonts w:cs="Arial"/>
          <w:b/>
          <w:bCs/>
          <w:szCs w:val="22"/>
        </w:rPr>
        <w:t xml:space="preserve"> the cost gap</w:t>
      </w:r>
      <w:r w:rsidR="00FB7396" w:rsidRPr="00191D29">
        <w:rPr>
          <w:rFonts w:cs="Arial"/>
          <w:b/>
          <w:bCs/>
          <w:szCs w:val="22"/>
        </w:rPr>
        <w:t>,</w:t>
      </w:r>
      <w:r w:rsidR="007C71C6" w:rsidRPr="00191D29">
        <w:rPr>
          <w:rFonts w:cs="Arial"/>
          <w:b/>
          <w:bCs/>
          <w:szCs w:val="22"/>
        </w:rPr>
        <w:t xml:space="preserve"> avoid</w:t>
      </w:r>
      <w:r w:rsidR="00FB7396" w:rsidRPr="00191D29">
        <w:rPr>
          <w:rFonts w:cs="Arial"/>
          <w:b/>
          <w:bCs/>
          <w:szCs w:val="22"/>
        </w:rPr>
        <w:t>ing</w:t>
      </w:r>
      <w:r w:rsidR="007C71C6" w:rsidRPr="00191D29">
        <w:rPr>
          <w:rFonts w:cs="Arial"/>
          <w:b/>
          <w:bCs/>
          <w:szCs w:val="22"/>
        </w:rPr>
        <w:t xml:space="preserve"> </w:t>
      </w:r>
      <w:r w:rsidR="0017683D" w:rsidRPr="00191D29">
        <w:rPr>
          <w:rFonts w:cs="Arial"/>
          <w:b/>
          <w:bCs/>
          <w:szCs w:val="22"/>
        </w:rPr>
        <w:t>disproportionately negative impacts on States</w:t>
      </w:r>
    </w:p>
    <w:p w14:paraId="2B652154" w14:textId="77777777" w:rsidR="00D25BB1" w:rsidRPr="00191D29" w:rsidRDefault="00D25BB1" w:rsidP="00AA4DC5">
      <w:pPr>
        <w:tabs>
          <w:tab w:val="clear" w:pos="851"/>
        </w:tabs>
        <w:rPr>
          <w:rFonts w:cs="Arial"/>
          <w:b/>
          <w:bCs/>
          <w:i/>
          <w:iCs/>
          <w:szCs w:val="22"/>
        </w:rPr>
      </w:pPr>
    </w:p>
    <w:p w14:paraId="13465E8C" w14:textId="0B75E4AB" w:rsidR="00D25BB1" w:rsidRPr="00191D29" w:rsidRDefault="0036659B" w:rsidP="00AA4DC5">
      <w:pPr>
        <w:tabs>
          <w:tab w:val="clear" w:pos="851"/>
        </w:tabs>
        <w:rPr>
          <w:rFonts w:cs="Arial"/>
          <w:szCs w:val="22"/>
        </w:rPr>
      </w:pPr>
      <w:r w:rsidRPr="00191D29">
        <w:rPr>
          <w:rFonts w:cs="Arial"/>
          <w:szCs w:val="22"/>
        </w:rPr>
        <w:t>33</w:t>
      </w:r>
      <w:r w:rsidR="00CC5CBD" w:rsidRPr="00191D29">
        <w:rPr>
          <w:rFonts w:cs="Arial"/>
          <w:szCs w:val="22"/>
        </w:rPr>
        <w:t xml:space="preserve"> </w:t>
      </w:r>
      <w:r w:rsidR="005A58A3" w:rsidRPr="00191D29">
        <w:rPr>
          <w:rFonts w:cs="Arial"/>
          <w:szCs w:val="22"/>
        </w:rPr>
        <w:tab/>
      </w:r>
      <w:r w:rsidR="00E45791">
        <w:rPr>
          <w:rFonts w:cs="Arial"/>
          <w:szCs w:val="22"/>
        </w:rPr>
        <w:t xml:space="preserve">The co-sponsors </w:t>
      </w:r>
      <w:r w:rsidR="00D25BB1" w:rsidRPr="00191D29">
        <w:rPr>
          <w:rFonts w:cs="Arial"/>
          <w:szCs w:val="22"/>
        </w:rPr>
        <w:t>take no position</w:t>
      </w:r>
      <w:r w:rsidR="00395017" w:rsidRPr="00191D29">
        <w:rPr>
          <w:rFonts w:cs="Arial"/>
          <w:szCs w:val="22"/>
        </w:rPr>
        <w:t xml:space="preserve"> </w:t>
      </w:r>
      <w:r w:rsidR="00D25BB1" w:rsidRPr="00191D29">
        <w:rPr>
          <w:rFonts w:cs="Arial"/>
          <w:szCs w:val="22"/>
        </w:rPr>
        <w:t>on what the quantum of the contribution to be made by ships to the ZESF should be</w:t>
      </w:r>
      <w:r w:rsidR="00D73802" w:rsidRPr="00191D29">
        <w:rPr>
          <w:rFonts w:cs="Arial"/>
          <w:szCs w:val="22"/>
        </w:rPr>
        <w:t xml:space="preserve">, provided that </w:t>
      </w:r>
      <w:r w:rsidR="00C1118F" w:rsidRPr="00191D29">
        <w:rPr>
          <w:rFonts w:cs="Arial"/>
          <w:szCs w:val="22"/>
        </w:rPr>
        <w:t xml:space="preserve">it will </w:t>
      </w:r>
      <w:r w:rsidR="00F7735C" w:rsidRPr="00191D29">
        <w:rPr>
          <w:rFonts w:cs="Arial"/>
          <w:szCs w:val="22"/>
        </w:rPr>
        <w:t xml:space="preserve">be </w:t>
      </w:r>
      <w:r w:rsidR="00C1118F" w:rsidRPr="00191D29">
        <w:rPr>
          <w:rFonts w:cs="Arial"/>
          <w:szCs w:val="22"/>
        </w:rPr>
        <w:t>sufficient to achieve it</w:t>
      </w:r>
      <w:r w:rsidR="00F7735C" w:rsidRPr="00191D29">
        <w:rPr>
          <w:rFonts w:cs="Arial"/>
          <w:szCs w:val="22"/>
        </w:rPr>
        <w:t>s</w:t>
      </w:r>
      <w:r w:rsidR="00C1118F" w:rsidRPr="00191D29">
        <w:rPr>
          <w:rFonts w:cs="Arial"/>
          <w:szCs w:val="22"/>
        </w:rPr>
        <w:t xml:space="preserve"> objective</w:t>
      </w:r>
      <w:r w:rsidR="00F7735C" w:rsidRPr="00191D29">
        <w:rPr>
          <w:rFonts w:cs="Arial"/>
          <w:szCs w:val="22"/>
        </w:rPr>
        <w:t>s</w:t>
      </w:r>
      <w:r w:rsidR="001B5B33" w:rsidRPr="00191D29">
        <w:rPr>
          <w:rFonts w:cs="Arial"/>
          <w:szCs w:val="22"/>
        </w:rPr>
        <w:t xml:space="preserve">, be </w:t>
      </w:r>
      <w:r w:rsidR="00D73802" w:rsidRPr="00191D29">
        <w:rPr>
          <w:rFonts w:cs="Arial"/>
          <w:szCs w:val="22"/>
        </w:rPr>
        <w:t>politically acceptable to Member States</w:t>
      </w:r>
      <w:r w:rsidR="001B5B33" w:rsidRPr="00191D29">
        <w:rPr>
          <w:rFonts w:cs="Arial"/>
          <w:szCs w:val="22"/>
        </w:rPr>
        <w:t>,</w:t>
      </w:r>
      <w:r w:rsidR="00D73802" w:rsidRPr="00191D29">
        <w:rPr>
          <w:rFonts w:cs="Arial"/>
          <w:szCs w:val="22"/>
        </w:rPr>
        <w:t xml:space="preserve"> </w:t>
      </w:r>
      <w:r w:rsidR="00CC5CBD" w:rsidRPr="00191D29">
        <w:rPr>
          <w:rFonts w:cs="Arial"/>
          <w:szCs w:val="22"/>
        </w:rPr>
        <w:t xml:space="preserve">and </w:t>
      </w:r>
      <w:r w:rsidR="004F38B0" w:rsidRPr="00191D29">
        <w:rPr>
          <w:rFonts w:cs="Arial"/>
          <w:szCs w:val="22"/>
        </w:rPr>
        <w:t xml:space="preserve">is </w:t>
      </w:r>
      <w:r w:rsidR="00CC5CBD" w:rsidRPr="00191D29">
        <w:rPr>
          <w:rFonts w:cs="Arial"/>
          <w:szCs w:val="22"/>
        </w:rPr>
        <w:t xml:space="preserve">confirmed by the </w:t>
      </w:r>
      <w:r w:rsidR="00784D0C" w:rsidRPr="00191D29">
        <w:t>Comprehensive Impact Assessment (CIA)</w:t>
      </w:r>
      <w:r w:rsidR="00784D0C" w:rsidRPr="00191D29">
        <w:rPr>
          <w:rFonts w:cs="Arial"/>
          <w:szCs w:val="22"/>
        </w:rPr>
        <w:t xml:space="preserve"> </w:t>
      </w:r>
      <w:r w:rsidR="005A58A3" w:rsidRPr="00191D29">
        <w:rPr>
          <w:rFonts w:cs="Arial"/>
          <w:szCs w:val="22"/>
        </w:rPr>
        <w:t xml:space="preserve">as </w:t>
      </w:r>
      <w:r w:rsidR="00CC5CBD" w:rsidRPr="00191D29">
        <w:rPr>
          <w:rFonts w:cs="Arial"/>
          <w:szCs w:val="22"/>
        </w:rPr>
        <w:t>avoid</w:t>
      </w:r>
      <w:r w:rsidR="005A58A3" w:rsidRPr="00191D29">
        <w:rPr>
          <w:rFonts w:cs="Arial"/>
          <w:szCs w:val="22"/>
        </w:rPr>
        <w:t>ing</w:t>
      </w:r>
      <w:r w:rsidR="00CC5CBD" w:rsidRPr="00191D29">
        <w:rPr>
          <w:rFonts w:cs="Arial"/>
          <w:szCs w:val="22"/>
        </w:rPr>
        <w:t xml:space="preserve"> disproportionally negative impact</w:t>
      </w:r>
      <w:r w:rsidR="005A58A3" w:rsidRPr="00191D29">
        <w:rPr>
          <w:rFonts w:cs="Arial"/>
          <w:szCs w:val="22"/>
        </w:rPr>
        <w:t>s</w:t>
      </w:r>
      <w:r w:rsidR="001B5B33" w:rsidRPr="00191D29">
        <w:rPr>
          <w:rFonts w:cs="Arial"/>
          <w:szCs w:val="22"/>
        </w:rPr>
        <w:t xml:space="preserve"> </w:t>
      </w:r>
      <w:r w:rsidR="0091573D" w:rsidRPr="00191D29">
        <w:rPr>
          <w:rFonts w:cs="Arial"/>
          <w:szCs w:val="22"/>
        </w:rPr>
        <w:t>on States</w:t>
      </w:r>
      <w:r w:rsidR="00AA4608" w:rsidRPr="00191D29">
        <w:rPr>
          <w:rFonts w:cs="Arial"/>
          <w:szCs w:val="22"/>
        </w:rPr>
        <w:t xml:space="preserve">, </w:t>
      </w:r>
      <w:r w:rsidR="006D6FD9" w:rsidRPr="00191D29">
        <w:rPr>
          <w:rFonts w:cs="Arial"/>
          <w:szCs w:val="22"/>
        </w:rPr>
        <w:t xml:space="preserve">as suggested by the updated impact </w:t>
      </w:r>
      <w:r w:rsidR="00423513" w:rsidRPr="00191D29">
        <w:rPr>
          <w:rFonts w:cs="Arial"/>
          <w:szCs w:val="22"/>
        </w:rPr>
        <w:t>as</w:t>
      </w:r>
      <w:r w:rsidR="006D6FD9" w:rsidRPr="00191D29">
        <w:rPr>
          <w:rFonts w:cs="Arial"/>
          <w:szCs w:val="22"/>
        </w:rPr>
        <w:t>sessment</w:t>
      </w:r>
      <w:r w:rsidR="003B683B" w:rsidRPr="00191D29">
        <w:rPr>
          <w:rFonts w:cs="Arial"/>
          <w:szCs w:val="22"/>
        </w:rPr>
        <w:t xml:space="preserve"> </w:t>
      </w:r>
      <w:r w:rsidR="00DC0637" w:rsidRPr="00191D29">
        <w:rPr>
          <w:rFonts w:cs="Arial"/>
          <w:szCs w:val="22"/>
        </w:rPr>
        <w:t>of the Fund</w:t>
      </w:r>
      <w:r w:rsidR="009263A9" w:rsidRPr="00191D29">
        <w:rPr>
          <w:rFonts w:cs="Arial"/>
          <w:szCs w:val="22"/>
        </w:rPr>
        <w:t xml:space="preserve"> and Reward (Feebate) proposal </w:t>
      </w:r>
      <w:r w:rsidR="003C0CEF" w:rsidRPr="00191D29">
        <w:rPr>
          <w:rFonts w:cs="Arial"/>
          <w:szCs w:val="22"/>
        </w:rPr>
        <w:t xml:space="preserve">contained </w:t>
      </w:r>
      <w:r w:rsidR="00A67D77" w:rsidRPr="00191D29">
        <w:rPr>
          <w:rFonts w:cs="Arial"/>
          <w:szCs w:val="22"/>
        </w:rPr>
        <w:t xml:space="preserve">in </w:t>
      </w:r>
      <w:r w:rsidR="006D6FD9" w:rsidRPr="00191D29">
        <w:rPr>
          <w:rFonts w:cs="Arial"/>
          <w:szCs w:val="22"/>
        </w:rPr>
        <w:t>document ISWG-GHG 16/2/</w:t>
      </w:r>
      <w:r w:rsidR="00D81AF3">
        <w:rPr>
          <w:rFonts w:cs="Arial"/>
          <w:szCs w:val="22"/>
        </w:rPr>
        <w:t>2</w:t>
      </w:r>
      <w:r w:rsidR="00AA4608" w:rsidRPr="00191D29">
        <w:rPr>
          <w:rFonts w:cs="Arial"/>
          <w:szCs w:val="22"/>
        </w:rPr>
        <w:t xml:space="preserve"> (ICS</w:t>
      </w:r>
      <w:r w:rsidR="001B5B33" w:rsidRPr="00191D29">
        <w:rPr>
          <w:rFonts w:cs="Arial"/>
          <w:szCs w:val="22"/>
        </w:rPr>
        <w:t>)</w:t>
      </w:r>
      <w:r w:rsidR="007878E0" w:rsidRPr="00191D29">
        <w:rPr>
          <w:rFonts w:cs="Arial"/>
          <w:szCs w:val="22"/>
        </w:rPr>
        <w:t>, which analyse</w:t>
      </w:r>
      <w:r w:rsidR="009114B8" w:rsidRPr="00191D29">
        <w:rPr>
          <w:rFonts w:cs="Arial"/>
          <w:szCs w:val="22"/>
        </w:rPr>
        <w:t>s</w:t>
      </w:r>
      <w:r w:rsidR="007878E0" w:rsidRPr="00191D29">
        <w:rPr>
          <w:rFonts w:cs="Arial"/>
          <w:szCs w:val="22"/>
        </w:rPr>
        <w:t xml:space="preserve"> the </w:t>
      </w:r>
      <w:r w:rsidR="0089309E" w:rsidRPr="00191D29">
        <w:rPr>
          <w:rFonts w:cs="Arial"/>
          <w:szCs w:val="22"/>
        </w:rPr>
        <w:t xml:space="preserve">economic </w:t>
      </w:r>
      <w:r w:rsidR="007878E0" w:rsidRPr="00191D29">
        <w:rPr>
          <w:rFonts w:cs="Arial"/>
          <w:szCs w:val="22"/>
        </w:rPr>
        <w:t xml:space="preserve">impacts on States </w:t>
      </w:r>
      <w:r w:rsidR="009114B8" w:rsidRPr="00191D29">
        <w:rPr>
          <w:rFonts w:cs="Arial"/>
          <w:szCs w:val="22"/>
        </w:rPr>
        <w:t xml:space="preserve">of </w:t>
      </w:r>
      <w:r w:rsidR="007878E0" w:rsidRPr="00191D29">
        <w:rPr>
          <w:rFonts w:cs="Arial"/>
          <w:szCs w:val="22"/>
        </w:rPr>
        <w:t xml:space="preserve">contribution quanta </w:t>
      </w:r>
      <w:r w:rsidR="009114B8" w:rsidRPr="00191D29">
        <w:rPr>
          <w:rFonts w:cs="Arial"/>
          <w:szCs w:val="22"/>
        </w:rPr>
        <w:t xml:space="preserve">set </w:t>
      </w:r>
      <w:r w:rsidR="001B0F02" w:rsidRPr="00191D29">
        <w:rPr>
          <w:rFonts w:cs="Arial"/>
          <w:szCs w:val="22"/>
        </w:rPr>
        <w:t>between US$</w:t>
      </w:r>
      <w:r w:rsidR="00B75496" w:rsidRPr="00191D29">
        <w:rPr>
          <w:rFonts w:cs="Arial"/>
          <w:szCs w:val="22"/>
        </w:rPr>
        <w:t>6.25</w:t>
      </w:r>
      <w:r w:rsidR="001B0F02" w:rsidRPr="00191D29">
        <w:rPr>
          <w:rFonts w:cs="Arial"/>
          <w:szCs w:val="22"/>
        </w:rPr>
        <w:t xml:space="preserve"> </w:t>
      </w:r>
      <w:r w:rsidR="002429AF" w:rsidRPr="00191D29">
        <w:rPr>
          <w:rFonts w:cs="Arial"/>
          <w:szCs w:val="22"/>
        </w:rPr>
        <w:t>and US$</w:t>
      </w:r>
      <w:r w:rsidR="00B75496" w:rsidRPr="00191D29">
        <w:rPr>
          <w:rFonts w:cs="Arial"/>
          <w:szCs w:val="22"/>
        </w:rPr>
        <w:t>1</w:t>
      </w:r>
      <w:r w:rsidR="002429AF" w:rsidRPr="00191D29">
        <w:rPr>
          <w:rFonts w:cs="Arial"/>
          <w:szCs w:val="22"/>
        </w:rPr>
        <w:t>00 p</w:t>
      </w:r>
      <w:r w:rsidR="001B0F02" w:rsidRPr="00191D29">
        <w:rPr>
          <w:rFonts w:cs="Arial"/>
          <w:szCs w:val="22"/>
        </w:rPr>
        <w:t>er tonne of CO</w:t>
      </w:r>
      <w:r w:rsidR="001B0F02" w:rsidRPr="00191D29">
        <w:rPr>
          <w:rFonts w:cs="Arial"/>
          <w:szCs w:val="22"/>
          <w:vertAlign w:val="subscript"/>
        </w:rPr>
        <w:t>2</w:t>
      </w:r>
      <w:r w:rsidR="001B0F02" w:rsidRPr="00191D29">
        <w:rPr>
          <w:rFonts w:cs="Arial"/>
          <w:szCs w:val="22"/>
        </w:rPr>
        <w:t>e emitted</w:t>
      </w:r>
      <w:r w:rsidR="002429AF" w:rsidRPr="00191D29">
        <w:rPr>
          <w:rFonts w:cs="Arial"/>
          <w:szCs w:val="22"/>
        </w:rPr>
        <w:t>.</w:t>
      </w:r>
    </w:p>
    <w:p w14:paraId="6A6F05DE" w14:textId="77777777" w:rsidR="00AA4DC5" w:rsidRPr="00191D29" w:rsidRDefault="00AA4DC5" w:rsidP="006B337E">
      <w:pPr>
        <w:tabs>
          <w:tab w:val="clear" w:pos="851"/>
        </w:tabs>
      </w:pPr>
    </w:p>
    <w:p w14:paraId="28B9CC42" w14:textId="417F55EF" w:rsidR="00036DB9" w:rsidRPr="00191D29" w:rsidRDefault="0036659B" w:rsidP="006B337E">
      <w:pPr>
        <w:tabs>
          <w:tab w:val="clear" w:pos="851"/>
        </w:tabs>
      </w:pPr>
      <w:r w:rsidRPr="00191D29">
        <w:t>34</w:t>
      </w:r>
      <w:r w:rsidR="00911541" w:rsidRPr="00191D29">
        <w:tab/>
      </w:r>
      <w:r w:rsidR="00243572" w:rsidRPr="00191D29">
        <w:t>T</w:t>
      </w:r>
      <w:r w:rsidR="00D32EC6" w:rsidRPr="00191D29">
        <w:t xml:space="preserve">o achieve the </w:t>
      </w:r>
      <w:r w:rsidR="00A25A12" w:rsidRPr="00191D29">
        <w:t xml:space="preserve">goals </w:t>
      </w:r>
      <w:r w:rsidR="00614706" w:rsidRPr="00191D29">
        <w:t>set by the 2023 IMO GHG Strategy</w:t>
      </w:r>
      <w:r w:rsidR="00243572" w:rsidRPr="00191D29">
        <w:t xml:space="preserve">, </w:t>
      </w:r>
      <w:r w:rsidR="000B05D3" w:rsidRPr="00191D29">
        <w:t>including the level of ambition for 5</w:t>
      </w:r>
      <w:r w:rsidR="00395017" w:rsidRPr="00191D29">
        <w:t xml:space="preserve"> to </w:t>
      </w:r>
      <w:r w:rsidR="000B05D3" w:rsidRPr="00191D29">
        <w:t xml:space="preserve">10% of </w:t>
      </w:r>
      <w:r w:rsidR="00DB4ED1" w:rsidRPr="00191D29">
        <w:t xml:space="preserve">energy used by </w:t>
      </w:r>
      <w:r w:rsidR="007B0C7A" w:rsidRPr="00191D29">
        <w:t xml:space="preserve">international </w:t>
      </w:r>
      <w:r w:rsidR="00DB4ED1" w:rsidRPr="00191D29">
        <w:t xml:space="preserve">shipping to be generated from zero/near-zero </w:t>
      </w:r>
      <w:r w:rsidR="00E52067" w:rsidRPr="00191D29">
        <w:t xml:space="preserve">sources, </w:t>
      </w:r>
      <w:r w:rsidR="00AA00E3" w:rsidRPr="00191D29">
        <w:t xml:space="preserve">and </w:t>
      </w:r>
      <w:r w:rsidR="00D36EDF" w:rsidRPr="00191D29">
        <w:t>accelerate the production and uptake of zero and near</w:t>
      </w:r>
      <w:r w:rsidR="00FF2931" w:rsidRPr="00191D29">
        <w:t>-</w:t>
      </w:r>
      <w:r w:rsidR="00D36EDF" w:rsidRPr="00191D29">
        <w:t>zero GHG fuels</w:t>
      </w:r>
      <w:r w:rsidR="00196DB9" w:rsidRPr="00191D29">
        <w:t xml:space="preserve">, </w:t>
      </w:r>
      <w:r w:rsidR="009A2C35" w:rsidRPr="00191D29">
        <w:t xml:space="preserve">it is suggested that </w:t>
      </w:r>
      <w:r w:rsidR="00533627" w:rsidRPr="00191D29">
        <w:t xml:space="preserve">the majority of the </w:t>
      </w:r>
      <w:r w:rsidR="00243572" w:rsidRPr="00191D29">
        <w:t>funds</w:t>
      </w:r>
      <w:r w:rsidR="00533627" w:rsidRPr="00191D29">
        <w:t xml:space="preserve"> </w:t>
      </w:r>
      <w:r w:rsidR="004316CF" w:rsidRPr="00191D29">
        <w:t xml:space="preserve">collected </w:t>
      </w:r>
      <w:r w:rsidR="009A2C35" w:rsidRPr="00191D29">
        <w:t>from ships</w:t>
      </w:r>
      <w:r w:rsidR="00D6089B" w:rsidRPr="00191D29">
        <w:t xml:space="preserve">, </w:t>
      </w:r>
      <w:r w:rsidR="00533627" w:rsidRPr="00191D29">
        <w:t>during the initial 5 years of implementation</w:t>
      </w:r>
      <w:r w:rsidR="00D6089B" w:rsidRPr="00191D29">
        <w:t>,</w:t>
      </w:r>
      <w:r w:rsidR="00104F63" w:rsidRPr="00191D29">
        <w:t xml:space="preserve"> </w:t>
      </w:r>
      <w:r w:rsidR="00243572" w:rsidRPr="00191D29">
        <w:t xml:space="preserve">will be used to reward those </w:t>
      </w:r>
      <w:r w:rsidR="00104F63" w:rsidRPr="00191D29">
        <w:t xml:space="preserve">ships which use </w:t>
      </w:r>
      <w:r w:rsidR="00FB6F67" w:rsidRPr="00191D29">
        <w:t>zero/near</w:t>
      </w:r>
      <w:r w:rsidR="00F978B3" w:rsidRPr="00191D29">
        <w:t>-zero</w:t>
      </w:r>
      <w:r w:rsidR="00FB6F67" w:rsidRPr="00191D29">
        <w:t xml:space="preserve"> </w:t>
      </w:r>
      <w:r w:rsidR="00B82C1A" w:rsidRPr="00191D29">
        <w:t xml:space="preserve">GHG </w:t>
      </w:r>
      <w:r w:rsidR="00637F22" w:rsidRPr="00191D29">
        <w:t>fuels</w:t>
      </w:r>
      <w:r w:rsidR="005F7744">
        <w:t>, energy sources and</w:t>
      </w:r>
      <w:r w:rsidR="00DC460D">
        <w:t xml:space="preserve"> technologies</w:t>
      </w:r>
      <w:r w:rsidR="00D84411" w:rsidRPr="00191D29">
        <w:t xml:space="preserve"> </w:t>
      </w:r>
      <w:r w:rsidR="00FB6F67" w:rsidRPr="00191D29">
        <w:t>which are eligible for rewards</w:t>
      </w:r>
      <w:r w:rsidR="00481831" w:rsidRPr="00191D29">
        <w:t>,</w:t>
      </w:r>
      <w:r w:rsidR="00FB6F67" w:rsidRPr="00191D29">
        <w:t xml:space="preserve"> </w:t>
      </w:r>
      <w:r w:rsidR="001D5E05" w:rsidRPr="00191D29">
        <w:t xml:space="preserve">per tonne of </w:t>
      </w:r>
      <w:r w:rsidR="00F978B3" w:rsidRPr="00191D29">
        <w:t>CO</w:t>
      </w:r>
      <w:r w:rsidR="00F978B3" w:rsidRPr="00191D29">
        <w:rPr>
          <w:vertAlign w:val="subscript"/>
        </w:rPr>
        <w:t>2</w:t>
      </w:r>
      <w:r w:rsidR="00F978B3" w:rsidRPr="00191D29">
        <w:t xml:space="preserve">e </w:t>
      </w:r>
      <w:r w:rsidR="001D5E05" w:rsidRPr="00191D29">
        <w:t>emissions prevented by the</w:t>
      </w:r>
      <w:r w:rsidR="00481831" w:rsidRPr="00191D29">
        <w:t>ir</w:t>
      </w:r>
      <w:r w:rsidR="001D5E05" w:rsidRPr="00191D29">
        <w:t xml:space="preserve"> use compared to </w:t>
      </w:r>
      <w:r w:rsidR="00014536" w:rsidRPr="00191D29">
        <w:t xml:space="preserve">combusting </w:t>
      </w:r>
      <w:r w:rsidR="001D5E05" w:rsidRPr="00191D29">
        <w:t>conventional</w:t>
      </w:r>
      <w:r w:rsidR="00056AE3" w:rsidRPr="00191D29">
        <w:t xml:space="preserve"> </w:t>
      </w:r>
      <w:r w:rsidR="0005540A" w:rsidRPr="00191D29">
        <w:t xml:space="preserve">liquid </w:t>
      </w:r>
      <w:r w:rsidR="00056AE3" w:rsidRPr="00191D29">
        <w:t>fuel oil.</w:t>
      </w:r>
      <w:r w:rsidR="001D5E05" w:rsidRPr="00191D29">
        <w:t xml:space="preserve"> </w:t>
      </w:r>
    </w:p>
    <w:p w14:paraId="2A7BA9CD" w14:textId="77777777" w:rsidR="00036DB9" w:rsidRPr="00191D29" w:rsidRDefault="00036DB9" w:rsidP="006B337E">
      <w:pPr>
        <w:tabs>
          <w:tab w:val="clear" w:pos="851"/>
        </w:tabs>
      </w:pPr>
    </w:p>
    <w:p w14:paraId="7BDBF63D" w14:textId="2C81412C" w:rsidR="00911541" w:rsidRPr="00191D29" w:rsidRDefault="0036659B" w:rsidP="006B337E">
      <w:pPr>
        <w:tabs>
          <w:tab w:val="clear" w:pos="851"/>
        </w:tabs>
      </w:pPr>
      <w:r w:rsidRPr="00191D29">
        <w:t>35</w:t>
      </w:r>
      <w:r w:rsidR="000A54B9" w:rsidRPr="00191D29">
        <w:tab/>
      </w:r>
      <w:r w:rsidR="00940300" w:rsidRPr="00191D29">
        <w:t xml:space="preserve">It </w:t>
      </w:r>
      <w:r w:rsidR="00A041DD" w:rsidRPr="00191D29">
        <w:t xml:space="preserve">is </w:t>
      </w:r>
      <w:r w:rsidR="00940300" w:rsidRPr="00191D29">
        <w:t xml:space="preserve">suggested that rewards should be </w:t>
      </w:r>
      <w:r w:rsidR="00365892" w:rsidRPr="00191D29">
        <w:t xml:space="preserve">based on the </w:t>
      </w:r>
      <w:r w:rsidR="000D7740" w:rsidRPr="00191D29">
        <w:t>CO</w:t>
      </w:r>
      <w:r w:rsidR="000D7740" w:rsidRPr="00191D29">
        <w:rPr>
          <w:vertAlign w:val="subscript"/>
        </w:rPr>
        <w:t>2</w:t>
      </w:r>
      <w:r w:rsidR="000D7740" w:rsidRPr="00191D29">
        <w:t xml:space="preserve">e emissions prevented by the use of eligible </w:t>
      </w:r>
      <w:r w:rsidR="00FA0FE5" w:rsidRPr="00191D29">
        <w:t xml:space="preserve">zero/near-zero GHG </w:t>
      </w:r>
      <w:r w:rsidR="001507D2" w:rsidRPr="00191D29">
        <w:t>fuels</w:t>
      </w:r>
      <w:r w:rsidR="00E16415">
        <w:t xml:space="preserve"> </w:t>
      </w:r>
      <w:r w:rsidR="00F07ED0">
        <w:t>or technologies</w:t>
      </w:r>
      <w:r w:rsidR="00365892" w:rsidRPr="00191D29">
        <w:t xml:space="preserve">, compared to </w:t>
      </w:r>
      <w:r w:rsidR="007564C5" w:rsidRPr="00191D29">
        <w:t>using</w:t>
      </w:r>
      <w:r w:rsidR="00365892" w:rsidRPr="00191D29">
        <w:t xml:space="preserve"> </w:t>
      </w:r>
      <w:r w:rsidR="00036DB9" w:rsidRPr="00191D29">
        <w:t xml:space="preserve">conventional </w:t>
      </w:r>
      <w:r w:rsidR="008E22B8" w:rsidRPr="00191D29">
        <w:t xml:space="preserve">liquid fuel oil, </w:t>
      </w:r>
      <w:r w:rsidR="00BB30EE" w:rsidRPr="00191D29">
        <w:t xml:space="preserve">as </w:t>
      </w:r>
      <w:r w:rsidR="00F458B0" w:rsidRPr="00191D29">
        <w:t>this can be easily calculated</w:t>
      </w:r>
      <w:r w:rsidR="002C116B" w:rsidRPr="00191D29">
        <w:t xml:space="preserve"> </w:t>
      </w:r>
      <w:r w:rsidR="002650F9" w:rsidRPr="00191D29">
        <w:t xml:space="preserve">taking account of the LCA Guidelines </w:t>
      </w:r>
      <w:r w:rsidR="002C116B" w:rsidRPr="00191D29">
        <w:t>(see annex 3 of this document</w:t>
      </w:r>
      <w:r w:rsidR="002650F9" w:rsidRPr="00191D29">
        <w:t>)</w:t>
      </w:r>
      <w:r w:rsidR="00C3382E" w:rsidRPr="00191D29">
        <w:t>,</w:t>
      </w:r>
      <w:r w:rsidR="002650F9" w:rsidRPr="00191D29">
        <w:t xml:space="preserve"> </w:t>
      </w:r>
      <w:r w:rsidR="00502157" w:rsidRPr="00191D29">
        <w:t xml:space="preserve">also </w:t>
      </w:r>
      <w:r w:rsidR="001507D2" w:rsidRPr="00191D29">
        <w:t>ensur</w:t>
      </w:r>
      <w:r w:rsidR="00F62FA4" w:rsidRPr="00191D29">
        <w:t>ing</w:t>
      </w:r>
      <w:r w:rsidR="001507D2" w:rsidRPr="00191D29">
        <w:t xml:space="preserve"> that the mechanism </w:t>
      </w:r>
      <w:r w:rsidR="007A4285" w:rsidRPr="00191D29">
        <w:t>is</w:t>
      </w:r>
      <w:r w:rsidR="001507D2" w:rsidRPr="00191D29">
        <w:t xml:space="preserve"> </w:t>
      </w:r>
      <w:r w:rsidR="00F62FA4" w:rsidRPr="00191D29">
        <w:t>“</w:t>
      </w:r>
      <w:r w:rsidR="001507D2" w:rsidRPr="00191D29">
        <w:t>fuel ne</w:t>
      </w:r>
      <w:r w:rsidR="007A4285" w:rsidRPr="00191D29">
        <w:t>utral</w:t>
      </w:r>
      <w:r w:rsidR="00F62FA4" w:rsidRPr="00191D29">
        <w:t>”</w:t>
      </w:r>
      <w:r w:rsidR="00502157" w:rsidRPr="00191D29">
        <w:t xml:space="preserve"> whil</w:t>
      </w:r>
      <w:r w:rsidR="0015629D" w:rsidRPr="00191D29">
        <w:t>st</w:t>
      </w:r>
      <w:r w:rsidR="00502157" w:rsidRPr="00191D29">
        <w:t xml:space="preserve"> taking account </w:t>
      </w:r>
      <w:r w:rsidR="00F36723" w:rsidRPr="00191D29">
        <w:t xml:space="preserve">of </w:t>
      </w:r>
      <w:r w:rsidR="00502157" w:rsidRPr="00191D29">
        <w:t xml:space="preserve">the different energy </w:t>
      </w:r>
      <w:r w:rsidR="00C718F4" w:rsidRPr="00191D29">
        <w:t>densities of alternative fuels.</w:t>
      </w:r>
    </w:p>
    <w:p w14:paraId="6899897F" w14:textId="77777777" w:rsidR="00911541" w:rsidRPr="00191D29" w:rsidRDefault="00911541" w:rsidP="006B337E">
      <w:pPr>
        <w:tabs>
          <w:tab w:val="clear" w:pos="851"/>
        </w:tabs>
      </w:pPr>
    </w:p>
    <w:p w14:paraId="0E96FC52" w14:textId="7EF1A4F4" w:rsidR="00B63724" w:rsidRPr="00191D29" w:rsidRDefault="0036659B" w:rsidP="006B337E">
      <w:pPr>
        <w:tabs>
          <w:tab w:val="clear" w:pos="851"/>
        </w:tabs>
      </w:pPr>
      <w:r w:rsidRPr="00191D29">
        <w:t>36</w:t>
      </w:r>
      <w:r w:rsidR="00911541" w:rsidRPr="00191D29">
        <w:tab/>
      </w:r>
      <w:r w:rsidR="00572614" w:rsidRPr="00191D29">
        <w:t xml:space="preserve">Building on the ideas </w:t>
      </w:r>
      <w:r w:rsidR="00764F20" w:rsidRPr="00191D29">
        <w:t xml:space="preserve">previously </w:t>
      </w:r>
      <w:r w:rsidR="00572614" w:rsidRPr="00191D29">
        <w:t>set out by Japan</w:t>
      </w:r>
      <w:r w:rsidR="003611C9" w:rsidRPr="00191D29">
        <w:t xml:space="preserve"> in documents ISWG-GHG 15/3, ISWG 14/3/1, ISWG-GHG 13/4/6 and ISWG-GHG 12/3/17</w:t>
      </w:r>
      <w:r w:rsidR="00572614" w:rsidRPr="00191D29">
        <w:t>, ships and energy producer</w:t>
      </w:r>
      <w:r w:rsidR="00043C34" w:rsidRPr="00191D29">
        <w:t>s</w:t>
      </w:r>
      <w:r w:rsidR="00572614" w:rsidRPr="00191D29">
        <w:t xml:space="preserve"> would be incentivi</w:t>
      </w:r>
      <w:r w:rsidR="00523DDB">
        <w:t>z</w:t>
      </w:r>
      <w:r w:rsidR="00572614" w:rsidRPr="00191D29">
        <w:t>ed</w:t>
      </w:r>
      <w:r w:rsidR="007E2C79" w:rsidRPr="00191D29">
        <w:t xml:space="preserve"> </w:t>
      </w:r>
      <w:r w:rsidR="00E03D12" w:rsidRPr="00191D29">
        <w:t xml:space="preserve">(by having their investments de-risked) </w:t>
      </w:r>
      <w:r w:rsidR="007E2C79" w:rsidRPr="00191D29">
        <w:t>to invest in</w:t>
      </w:r>
      <w:r w:rsidR="00043C34" w:rsidRPr="00191D29">
        <w:t xml:space="preserve"> the uptake of zero/near</w:t>
      </w:r>
      <w:r w:rsidR="00F24B45" w:rsidRPr="00191D29">
        <w:t>-</w:t>
      </w:r>
      <w:r w:rsidR="00043C34" w:rsidRPr="00191D29">
        <w:t xml:space="preserve">zero </w:t>
      </w:r>
      <w:r w:rsidR="00F24B45" w:rsidRPr="00191D29">
        <w:t xml:space="preserve">GHG </w:t>
      </w:r>
      <w:r w:rsidR="00043C34" w:rsidRPr="00191D29">
        <w:t>fuel</w:t>
      </w:r>
      <w:r w:rsidR="00FC4C68" w:rsidRPr="00191D29">
        <w:t>s</w:t>
      </w:r>
      <w:r w:rsidR="00043C34" w:rsidRPr="00191D29">
        <w:t xml:space="preserve"> </w:t>
      </w:r>
      <w:r w:rsidR="005E101D">
        <w:t xml:space="preserve">and technologies </w:t>
      </w:r>
      <w:r w:rsidR="005558C9" w:rsidRPr="00191D29">
        <w:t xml:space="preserve">by the </w:t>
      </w:r>
      <w:r w:rsidR="00BD58CF" w:rsidRPr="00191D29">
        <w:t xml:space="preserve">considerable </w:t>
      </w:r>
      <w:r w:rsidR="005558C9" w:rsidRPr="00191D29">
        <w:t xml:space="preserve">narrowing of the cost gap </w:t>
      </w:r>
      <w:r w:rsidR="00FC4C68" w:rsidRPr="00191D29">
        <w:t xml:space="preserve">that would be achieved </w:t>
      </w:r>
      <w:r w:rsidR="00246DB0" w:rsidRPr="00191D29">
        <w:t>by the</w:t>
      </w:r>
      <w:r w:rsidR="00B32205" w:rsidRPr="00191D29">
        <w:t xml:space="preserve"> </w:t>
      </w:r>
      <w:r w:rsidR="00246DB0" w:rsidRPr="00191D29">
        <w:t>feebate mechanism</w:t>
      </w:r>
      <w:r w:rsidR="00B32205" w:rsidRPr="00191D29">
        <w:t xml:space="preserve">. </w:t>
      </w:r>
    </w:p>
    <w:p w14:paraId="1B7B8E6B" w14:textId="77777777" w:rsidR="00B63724" w:rsidRPr="00191D29" w:rsidRDefault="00B63724" w:rsidP="006B337E">
      <w:pPr>
        <w:tabs>
          <w:tab w:val="clear" w:pos="851"/>
        </w:tabs>
      </w:pPr>
    </w:p>
    <w:p w14:paraId="33972790" w14:textId="63B4C925" w:rsidR="00344B65" w:rsidRPr="00191D29" w:rsidRDefault="00857642" w:rsidP="006B337E">
      <w:pPr>
        <w:tabs>
          <w:tab w:val="clear" w:pos="851"/>
        </w:tabs>
      </w:pPr>
      <w:r w:rsidRPr="00191D29">
        <w:t>3</w:t>
      </w:r>
      <w:r w:rsidR="00BF01D4" w:rsidRPr="00191D29">
        <w:t>7</w:t>
      </w:r>
      <w:r w:rsidR="00136B99" w:rsidRPr="00191D29">
        <w:tab/>
      </w:r>
      <w:r w:rsidR="00B32205" w:rsidRPr="00191D29">
        <w:t xml:space="preserve">Depending on the agreed </w:t>
      </w:r>
      <w:r w:rsidR="00A563BD" w:rsidRPr="00191D29">
        <w:t>CO</w:t>
      </w:r>
      <w:r w:rsidR="00A563BD" w:rsidRPr="00191D29">
        <w:rPr>
          <w:vertAlign w:val="subscript"/>
        </w:rPr>
        <w:t>2</w:t>
      </w:r>
      <w:r w:rsidR="00A563BD" w:rsidRPr="00191D29">
        <w:t xml:space="preserve">e conversion factors of </w:t>
      </w:r>
      <w:r w:rsidR="00A4528E" w:rsidRPr="00191D29">
        <w:t xml:space="preserve">new </w:t>
      </w:r>
      <w:r w:rsidR="00A563BD" w:rsidRPr="00191D29">
        <w:t>fuels</w:t>
      </w:r>
      <w:r w:rsidR="001007C0" w:rsidRPr="00191D29">
        <w:t>, as determined by the LCA Guidelines</w:t>
      </w:r>
      <w:r w:rsidR="00580C2B" w:rsidRPr="00191D29">
        <w:t>, ships using zero</w:t>
      </w:r>
      <w:r w:rsidR="00136B99" w:rsidRPr="00191D29">
        <w:t>/</w:t>
      </w:r>
      <w:r w:rsidR="00580C2B" w:rsidRPr="00191D29">
        <w:t>near</w:t>
      </w:r>
      <w:r w:rsidR="00703832" w:rsidRPr="00191D29">
        <w:t xml:space="preserve">-zero </w:t>
      </w:r>
      <w:r w:rsidR="00136B99" w:rsidRPr="00191D29">
        <w:t xml:space="preserve">GHG </w:t>
      </w:r>
      <w:r w:rsidR="00703832" w:rsidRPr="00191D29">
        <w:t xml:space="preserve">fuels would be required to make a smaller contribution per tonne of fuel </w:t>
      </w:r>
      <w:r w:rsidR="000D47F7" w:rsidRPr="00191D29">
        <w:t xml:space="preserve">consumed </w:t>
      </w:r>
      <w:r w:rsidR="00B07F58" w:rsidRPr="00191D29">
        <w:t>than ship</w:t>
      </w:r>
      <w:r w:rsidR="00CF6E1E" w:rsidRPr="00191D29">
        <w:t>s</w:t>
      </w:r>
      <w:r w:rsidR="00B07F58" w:rsidRPr="00191D29">
        <w:t xml:space="preserve"> using conventional fuel oil, </w:t>
      </w:r>
      <w:r w:rsidR="00C346E2" w:rsidRPr="00191D29">
        <w:t>with some fuels being ‘zero-rated’ and requiring no contribution to be made</w:t>
      </w:r>
      <w:r w:rsidR="0093153C" w:rsidRPr="00191D29">
        <w:t xml:space="preserve"> to the ZESF.</w:t>
      </w:r>
      <w:r w:rsidR="00C346E2" w:rsidRPr="00191D29">
        <w:t xml:space="preserve"> </w:t>
      </w:r>
    </w:p>
    <w:p w14:paraId="461EF64E" w14:textId="77777777" w:rsidR="00344B65" w:rsidRPr="00191D29" w:rsidRDefault="00344B65" w:rsidP="006B337E">
      <w:pPr>
        <w:tabs>
          <w:tab w:val="clear" w:pos="851"/>
        </w:tabs>
      </w:pPr>
    </w:p>
    <w:p w14:paraId="530E571B" w14:textId="6BAF2B20" w:rsidR="0031013D" w:rsidRPr="00191D29" w:rsidRDefault="00BF01D4" w:rsidP="006B337E">
      <w:pPr>
        <w:tabs>
          <w:tab w:val="clear" w:pos="851"/>
        </w:tabs>
      </w:pPr>
      <w:r w:rsidRPr="00191D29">
        <w:t>38</w:t>
      </w:r>
      <w:r w:rsidR="007D0513" w:rsidRPr="00191D29">
        <w:tab/>
      </w:r>
      <w:r w:rsidR="00B07F58" w:rsidRPr="00191D29">
        <w:t xml:space="preserve">However, regardless of the quantum of the contribution </w:t>
      </w:r>
      <w:r w:rsidR="00D577F2" w:rsidRPr="00191D29">
        <w:t>by ship</w:t>
      </w:r>
      <w:r w:rsidR="00237223" w:rsidRPr="00191D29">
        <w:t>s</w:t>
      </w:r>
      <w:r w:rsidR="00D577F2" w:rsidRPr="00191D29">
        <w:t xml:space="preserve"> </w:t>
      </w:r>
      <w:r w:rsidR="00213728" w:rsidRPr="00191D29">
        <w:t>to</w:t>
      </w:r>
      <w:r w:rsidR="00B07F58" w:rsidRPr="00191D29">
        <w:t xml:space="preserve"> the ZESF</w:t>
      </w:r>
      <w:r w:rsidR="00213728" w:rsidRPr="00191D29">
        <w:t xml:space="preserve"> which </w:t>
      </w:r>
      <w:r w:rsidR="00BA4633" w:rsidRPr="00191D29">
        <w:t>may be</w:t>
      </w:r>
      <w:r w:rsidR="00213728" w:rsidRPr="00191D29">
        <w:t xml:space="preserve"> agreed, its impact on narrowing the cost gap </w:t>
      </w:r>
      <w:r w:rsidR="0093153C" w:rsidRPr="00191D29">
        <w:t xml:space="preserve">will </w:t>
      </w:r>
      <w:r w:rsidR="00213728" w:rsidRPr="00191D29">
        <w:t xml:space="preserve">be substantially multiplied </w:t>
      </w:r>
      <w:r w:rsidR="006907EC" w:rsidRPr="00191D29">
        <w:t>by the reward element of the feebate system. If the cost gap between</w:t>
      </w:r>
      <w:r w:rsidR="008950BB" w:rsidRPr="00191D29">
        <w:t xml:space="preserve"> </w:t>
      </w:r>
      <w:r w:rsidR="0096571F" w:rsidRPr="00191D29">
        <w:t xml:space="preserve">a </w:t>
      </w:r>
      <w:r w:rsidR="00CC6812" w:rsidRPr="00191D29">
        <w:t>zero GHG fuel and conventional fuel oil was</w:t>
      </w:r>
      <w:r w:rsidR="0096571F" w:rsidRPr="00191D29">
        <w:t xml:space="preserve"> </w:t>
      </w:r>
      <w:r w:rsidR="007E466E" w:rsidRPr="00191D29">
        <w:t xml:space="preserve">determined to be </w:t>
      </w:r>
      <w:r w:rsidR="00CD5DCF" w:rsidRPr="00191D29">
        <w:t xml:space="preserve">equivalent to </w:t>
      </w:r>
      <w:r w:rsidR="00B42ECE" w:rsidRPr="00191D29">
        <w:t xml:space="preserve">(say) </w:t>
      </w:r>
      <w:r w:rsidR="00CD5DCF" w:rsidRPr="00191D29">
        <w:t xml:space="preserve">about </w:t>
      </w:r>
      <w:r w:rsidR="000C288B" w:rsidRPr="00191D29">
        <w:t>US$</w:t>
      </w:r>
      <w:r w:rsidR="0081097D" w:rsidRPr="00191D29">
        <w:t>6</w:t>
      </w:r>
      <w:r w:rsidR="00CD5DCF" w:rsidRPr="00191D29">
        <w:t>00</w:t>
      </w:r>
      <w:r w:rsidR="000C288B" w:rsidRPr="00191D29">
        <w:t xml:space="preserve"> per tonne</w:t>
      </w:r>
      <w:r w:rsidR="00540527" w:rsidRPr="00191D29">
        <w:t xml:space="preserve"> of fuel, </w:t>
      </w:r>
      <w:r w:rsidR="00D870B1" w:rsidRPr="00191D29">
        <w:t>it would not be necessary</w:t>
      </w:r>
      <w:r w:rsidR="008015E1" w:rsidRPr="00191D29">
        <w:t>, using the feebate mechanism,</w:t>
      </w:r>
      <w:r w:rsidR="00D870B1" w:rsidRPr="00191D29">
        <w:t xml:space="preserve"> to set the contribution</w:t>
      </w:r>
      <w:r w:rsidR="00EA19F0" w:rsidRPr="00191D29">
        <w:t xml:space="preserve"> quantum </w:t>
      </w:r>
      <w:r w:rsidR="004E737A" w:rsidRPr="00191D29">
        <w:t xml:space="preserve">at </w:t>
      </w:r>
      <w:r w:rsidR="001D0B9F" w:rsidRPr="00191D29">
        <w:t xml:space="preserve">a </w:t>
      </w:r>
      <w:r w:rsidR="001D0B9F" w:rsidRPr="00191D29">
        <w:lastRenderedPageBreak/>
        <w:t xml:space="preserve">rate equivalent to </w:t>
      </w:r>
      <w:r w:rsidR="004E737A" w:rsidRPr="00191D29">
        <w:t>US</w:t>
      </w:r>
      <w:r w:rsidR="0005150A" w:rsidRPr="00191D29">
        <w:t>$</w:t>
      </w:r>
      <w:r w:rsidR="004E737A" w:rsidRPr="00191D29">
        <w:t>600</w:t>
      </w:r>
      <w:r w:rsidR="000C4A40" w:rsidRPr="00191D29">
        <w:t xml:space="preserve"> per tonne of fuel oil </w:t>
      </w:r>
      <w:r w:rsidR="001D0B9F" w:rsidRPr="00191D29">
        <w:t xml:space="preserve">(i.e. </w:t>
      </w:r>
      <w:r w:rsidR="00864D76" w:rsidRPr="00191D29">
        <w:t>almost US</w:t>
      </w:r>
      <w:r w:rsidR="00367FDC" w:rsidRPr="00191D29">
        <w:t>$</w:t>
      </w:r>
      <w:r w:rsidR="00864D76" w:rsidRPr="00191D29">
        <w:t>200 per tonne of CO</w:t>
      </w:r>
      <w:r w:rsidR="00864D76" w:rsidRPr="00191D29">
        <w:rPr>
          <w:vertAlign w:val="subscript"/>
        </w:rPr>
        <w:t>2</w:t>
      </w:r>
      <w:r w:rsidR="00864D76" w:rsidRPr="00191D29">
        <w:t>e</w:t>
      </w:r>
      <w:r w:rsidR="00367FDC" w:rsidRPr="00191D29">
        <w:t xml:space="preserve">) </w:t>
      </w:r>
      <w:r w:rsidR="002B3B06" w:rsidRPr="00191D29">
        <w:t xml:space="preserve">in order </w:t>
      </w:r>
      <w:r w:rsidR="0005150A" w:rsidRPr="00191D29">
        <w:t>to close the price gap</w:t>
      </w:r>
      <w:r w:rsidR="00AF70A1" w:rsidRPr="00191D29">
        <w:t xml:space="preserve">. </w:t>
      </w:r>
    </w:p>
    <w:p w14:paraId="263BD3AB" w14:textId="77777777" w:rsidR="0031013D" w:rsidRPr="00191D29" w:rsidRDefault="0031013D" w:rsidP="006B337E">
      <w:pPr>
        <w:tabs>
          <w:tab w:val="clear" w:pos="851"/>
        </w:tabs>
      </w:pPr>
    </w:p>
    <w:p w14:paraId="725F3D04" w14:textId="72DA63AA" w:rsidR="007F6539" w:rsidRPr="00191D29" w:rsidRDefault="003B683B" w:rsidP="006B337E">
      <w:pPr>
        <w:tabs>
          <w:tab w:val="clear" w:pos="851"/>
        </w:tabs>
      </w:pPr>
      <w:r w:rsidRPr="00191D29">
        <w:t>3</w:t>
      </w:r>
      <w:r w:rsidR="00D111D8" w:rsidRPr="00191D29">
        <w:t>9</w:t>
      </w:r>
      <w:r w:rsidR="0031013D" w:rsidRPr="00191D29">
        <w:tab/>
      </w:r>
      <w:r w:rsidR="00AF70A1" w:rsidRPr="00191D29">
        <w:t xml:space="preserve">Even if, as set out by the 2023 IMO GHG Strategy, </w:t>
      </w:r>
      <w:r w:rsidR="000B3440" w:rsidRPr="00191D29">
        <w:t xml:space="preserve">up </w:t>
      </w:r>
      <w:r w:rsidR="003E727C" w:rsidRPr="00191D29">
        <w:t xml:space="preserve">to </w:t>
      </w:r>
      <w:r w:rsidR="000B3440" w:rsidRPr="00191D29">
        <w:t xml:space="preserve">10% of the energy used by shipping </w:t>
      </w:r>
      <w:r w:rsidR="0036324A" w:rsidRPr="00191D29">
        <w:t>in 2030 is generated from zero/near-zero GHG fuels</w:t>
      </w:r>
      <w:r w:rsidR="00BA1747">
        <w:t>,</w:t>
      </w:r>
      <w:r w:rsidR="00DC6DF9" w:rsidRPr="00191D29">
        <w:t xml:space="preserve"> </w:t>
      </w:r>
      <w:r w:rsidR="00654116">
        <w:t>energy sources and technologies</w:t>
      </w:r>
      <w:r w:rsidR="00BA1747">
        <w:t>,</w:t>
      </w:r>
      <w:r w:rsidR="00654116">
        <w:t xml:space="preserve"> </w:t>
      </w:r>
      <w:r w:rsidR="00A960E5">
        <w:t xml:space="preserve">which </w:t>
      </w:r>
      <w:r w:rsidR="00B93E71" w:rsidRPr="00191D29">
        <w:t>might</w:t>
      </w:r>
      <w:r w:rsidR="003E727C" w:rsidRPr="00191D29">
        <w:t xml:space="preserve"> </w:t>
      </w:r>
      <w:r w:rsidR="00DC6DF9" w:rsidRPr="00191D29">
        <w:t xml:space="preserve">therefore </w:t>
      </w:r>
      <w:r w:rsidR="00CF2272" w:rsidRPr="00191D29">
        <w:t xml:space="preserve">be </w:t>
      </w:r>
      <w:r w:rsidR="00DC6DF9" w:rsidRPr="00191D29">
        <w:t xml:space="preserve">eligible </w:t>
      </w:r>
      <w:r w:rsidR="003E727C" w:rsidRPr="00191D29">
        <w:t xml:space="preserve">for </w:t>
      </w:r>
      <w:r w:rsidR="00DC6DF9" w:rsidRPr="00191D29">
        <w:t>rewards</w:t>
      </w:r>
      <w:r w:rsidR="003C1E08" w:rsidRPr="00191D29">
        <w:t xml:space="preserve">, the contribution quantum required </w:t>
      </w:r>
      <w:r w:rsidR="009D0EDF" w:rsidRPr="00191D29">
        <w:t xml:space="preserve">by </w:t>
      </w:r>
      <w:r w:rsidR="00B9233F" w:rsidRPr="00191D29">
        <w:t xml:space="preserve">other </w:t>
      </w:r>
      <w:r w:rsidR="009D0EDF" w:rsidRPr="00191D29">
        <w:t xml:space="preserve">ships </w:t>
      </w:r>
      <w:r w:rsidR="00FF4662" w:rsidRPr="00191D29">
        <w:t xml:space="preserve">to </w:t>
      </w:r>
      <w:r w:rsidR="008D55FB" w:rsidRPr="00191D29">
        <w:t xml:space="preserve">fund </w:t>
      </w:r>
      <w:r w:rsidR="00FF4662" w:rsidRPr="00191D29">
        <w:t xml:space="preserve">this </w:t>
      </w:r>
      <w:r w:rsidR="00B53BA4" w:rsidRPr="00191D29">
        <w:t xml:space="preserve">amount </w:t>
      </w:r>
      <w:r w:rsidR="00FF4662" w:rsidRPr="00191D29">
        <w:t>of rewards</w:t>
      </w:r>
      <w:r w:rsidR="00B53BA4" w:rsidRPr="00191D29">
        <w:t xml:space="preserve"> </w:t>
      </w:r>
      <w:r w:rsidR="0081083D" w:rsidRPr="00191D29">
        <w:t>would</w:t>
      </w:r>
      <w:r w:rsidR="00301705" w:rsidRPr="00191D29">
        <w:t>,</w:t>
      </w:r>
      <w:r w:rsidR="00B53BA4" w:rsidRPr="00191D29">
        <w:t xml:space="preserve"> </w:t>
      </w:r>
      <w:r w:rsidR="00A05389" w:rsidRPr="00191D29">
        <w:t xml:space="preserve">depending on the reward rate agreed </w:t>
      </w:r>
      <w:r w:rsidR="003C75AE" w:rsidRPr="00191D29">
        <w:t xml:space="preserve">per </w:t>
      </w:r>
      <w:r w:rsidR="00A05389" w:rsidRPr="00191D29">
        <w:t>tonne of CO</w:t>
      </w:r>
      <w:r w:rsidR="00A05389" w:rsidRPr="00191D29">
        <w:rPr>
          <w:vertAlign w:val="subscript"/>
        </w:rPr>
        <w:t>2</w:t>
      </w:r>
      <w:r w:rsidR="00A05389" w:rsidRPr="00191D29">
        <w:t>e prevented</w:t>
      </w:r>
      <w:r w:rsidR="00301705" w:rsidRPr="00191D29">
        <w:t>,</w:t>
      </w:r>
      <w:r w:rsidR="0081083D" w:rsidRPr="00191D29">
        <w:t xml:space="preserve"> be considerably less th</w:t>
      </w:r>
      <w:r w:rsidR="00301705" w:rsidRPr="00191D29">
        <w:t>an the cost gap</w:t>
      </w:r>
      <w:r w:rsidR="00B75855" w:rsidRPr="00191D29">
        <w:t>.</w:t>
      </w:r>
    </w:p>
    <w:p w14:paraId="10F6174D" w14:textId="77777777" w:rsidR="007F6539" w:rsidRPr="00191D29" w:rsidRDefault="007F6539" w:rsidP="006B337E">
      <w:pPr>
        <w:tabs>
          <w:tab w:val="clear" w:pos="851"/>
        </w:tabs>
      </w:pPr>
    </w:p>
    <w:p w14:paraId="3A55DD60" w14:textId="5B3DAC09" w:rsidR="008C45B8" w:rsidRPr="00191D29" w:rsidRDefault="000E2E53" w:rsidP="006B337E">
      <w:pPr>
        <w:tabs>
          <w:tab w:val="clear" w:pos="851"/>
        </w:tabs>
      </w:pPr>
      <w:r w:rsidRPr="00191D29">
        <w:t>40</w:t>
      </w:r>
      <w:r w:rsidR="00557CC1" w:rsidRPr="00191D29">
        <w:tab/>
      </w:r>
      <w:r w:rsidR="00E56C14" w:rsidRPr="00191D29">
        <w:t>For example, a</w:t>
      </w:r>
      <w:r w:rsidR="002D1FB0" w:rsidRPr="00191D29">
        <w:t xml:space="preserve">ssuming total </w:t>
      </w:r>
      <w:r w:rsidR="004908BB" w:rsidRPr="00191D29">
        <w:t xml:space="preserve">energy consumption by the </w:t>
      </w:r>
      <w:r w:rsidR="00D84C4C" w:rsidRPr="00191D29">
        <w:t xml:space="preserve">global </w:t>
      </w:r>
      <w:r w:rsidR="00B75855" w:rsidRPr="00191D29">
        <w:t>fleet</w:t>
      </w:r>
      <w:r w:rsidR="00D84C4C" w:rsidRPr="00191D29">
        <w:t xml:space="preserve"> </w:t>
      </w:r>
      <w:r w:rsidR="00305947" w:rsidRPr="00191D29">
        <w:t xml:space="preserve">is equivalent to </w:t>
      </w:r>
      <w:r w:rsidR="00D84C4C" w:rsidRPr="00191D29">
        <w:t xml:space="preserve">about 300 million </w:t>
      </w:r>
      <w:r w:rsidR="00EA367A" w:rsidRPr="00191D29">
        <w:t>tonne</w:t>
      </w:r>
      <w:r w:rsidR="007D55C4" w:rsidRPr="00191D29">
        <w:t>s</w:t>
      </w:r>
      <w:r w:rsidR="00EA367A" w:rsidRPr="00191D29">
        <w:t xml:space="preserve"> </w:t>
      </w:r>
      <w:r w:rsidR="002D7393" w:rsidRPr="00191D29">
        <w:t xml:space="preserve">of fuel oil </w:t>
      </w:r>
      <w:r w:rsidR="00D84C4C" w:rsidRPr="00191D29">
        <w:t>per year during the first five</w:t>
      </w:r>
      <w:r w:rsidR="00EA367A" w:rsidRPr="00191D29">
        <w:t xml:space="preserve"> years of implementation</w:t>
      </w:r>
      <w:r w:rsidR="002D7393" w:rsidRPr="00191D29">
        <w:t xml:space="preserve">, 10% of this amount </w:t>
      </w:r>
      <w:r w:rsidR="00CD3771" w:rsidRPr="00191D29">
        <w:t xml:space="preserve">(as </w:t>
      </w:r>
      <w:r w:rsidR="00DE2255" w:rsidRPr="00191D29">
        <w:t xml:space="preserve">referred to </w:t>
      </w:r>
      <w:r w:rsidR="00CD3771" w:rsidRPr="00191D29">
        <w:t>by the upper</w:t>
      </w:r>
      <w:r w:rsidR="00AD39A2" w:rsidRPr="00191D29">
        <w:t xml:space="preserve"> </w:t>
      </w:r>
      <w:r w:rsidR="00CD3771" w:rsidRPr="00191D29">
        <w:t xml:space="preserve">end of the </w:t>
      </w:r>
      <w:r w:rsidR="00511283" w:rsidRPr="00191D29">
        <w:t xml:space="preserve">2030 </w:t>
      </w:r>
      <w:r w:rsidR="00CD3771" w:rsidRPr="00191D29">
        <w:t xml:space="preserve">IMO </w:t>
      </w:r>
      <w:r w:rsidR="005B45E8" w:rsidRPr="00191D29">
        <w:t>level of ambition</w:t>
      </w:r>
      <w:r w:rsidR="00586CA7" w:rsidRPr="00191D29">
        <w:t xml:space="preserve"> </w:t>
      </w:r>
      <w:r w:rsidR="003D5473" w:rsidRPr="00191D29">
        <w:t>for</w:t>
      </w:r>
      <w:r w:rsidR="00586CA7" w:rsidRPr="00191D29">
        <w:t xml:space="preserve"> 10% of the energy used by shipping </w:t>
      </w:r>
      <w:r w:rsidR="001751C0" w:rsidRPr="00191D29">
        <w:t xml:space="preserve">to be </w:t>
      </w:r>
      <w:r w:rsidR="00586CA7" w:rsidRPr="00191D29">
        <w:t>generated from zero/near-zero fuels</w:t>
      </w:r>
      <w:r w:rsidR="005F56C9">
        <w:t xml:space="preserve"> etc.</w:t>
      </w:r>
      <w:r w:rsidR="00511283" w:rsidRPr="00191D29">
        <w:t>)</w:t>
      </w:r>
      <w:r w:rsidR="00CD3771" w:rsidRPr="00191D29">
        <w:t xml:space="preserve"> </w:t>
      </w:r>
      <w:r w:rsidR="002D7393" w:rsidRPr="00191D29">
        <w:t xml:space="preserve">would be equivalent to about </w:t>
      </w:r>
      <w:r w:rsidR="000573DD" w:rsidRPr="00191D29">
        <w:t xml:space="preserve">30 million tonnes </w:t>
      </w:r>
      <w:r w:rsidR="00C57E42" w:rsidRPr="00191D29">
        <w:t xml:space="preserve">of fuel oil </w:t>
      </w:r>
      <w:r w:rsidR="00A254E8" w:rsidRPr="00191D29">
        <w:t>per year</w:t>
      </w:r>
      <w:r w:rsidR="0051428D" w:rsidRPr="00191D29">
        <w:t xml:space="preserve"> </w:t>
      </w:r>
      <w:r w:rsidR="00883684" w:rsidRPr="00191D29">
        <w:t>(</w:t>
      </w:r>
      <w:r w:rsidR="00647598" w:rsidRPr="00191D29">
        <w:t xml:space="preserve">emitting </w:t>
      </w:r>
      <w:r w:rsidR="0051428D" w:rsidRPr="00191D29">
        <w:t xml:space="preserve">about </w:t>
      </w:r>
      <w:r w:rsidR="00883684" w:rsidRPr="00191D29">
        <w:t>100 million tonnes of CO</w:t>
      </w:r>
      <w:r w:rsidR="00883684" w:rsidRPr="00191D29">
        <w:rPr>
          <w:vertAlign w:val="subscript"/>
        </w:rPr>
        <w:t>2</w:t>
      </w:r>
      <w:r w:rsidR="00883684" w:rsidRPr="00191D29">
        <w:t>e</w:t>
      </w:r>
      <w:r w:rsidR="00647598" w:rsidRPr="00191D29">
        <w:t>).</w:t>
      </w:r>
      <w:r w:rsidR="00883684" w:rsidRPr="00191D29">
        <w:t xml:space="preserve"> </w:t>
      </w:r>
      <w:r w:rsidR="008C15A7" w:rsidRPr="00191D29">
        <w:t xml:space="preserve">If the reward rate for use of </w:t>
      </w:r>
      <w:r w:rsidR="00EC22F9" w:rsidRPr="00191D29">
        <w:t>zero/near-zero GHG fuels</w:t>
      </w:r>
      <w:r w:rsidR="00EA367A" w:rsidRPr="00191D29">
        <w:t xml:space="preserve"> </w:t>
      </w:r>
      <w:r w:rsidR="00EC22F9" w:rsidRPr="00191D29">
        <w:t>was set at, say, US$100 per tonne of CO</w:t>
      </w:r>
      <w:r w:rsidR="00EC22F9" w:rsidRPr="00191D29">
        <w:rPr>
          <w:vertAlign w:val="subscript"/>
        </w:rPr>
        <w:t>2</w:t>
      </w:r>
      <w:r w:rsidR="00DC5BBA" w:rsidRPr="00191D29">
        <w:t>e</w:t>
      </w:r>
      <w:r w:rsidR="00EC22F9" w:rsidRPr="00191D29">
        <w:t xml:space="preserve"> prevented</w:t>
      </w:r>
      <w:r w:rsidR="00647598" w:rsidRPr="00191D29">
        <w:t>,</w:t>
      </w:r>
      <w:r w:rsidR="003C7417" w:rsidRPr="00191D29">
        <w:t xml:space="preserve"> </w:t>
      </w:r>
      <w:r w:rsidR="00B669E8" w:rsidRPr="00191D29">
        <w:t xml:space="preserve">and 10% of the </w:t>
      </w:r>
      <w:r w:rsidR="00F3126E" w:rsidRPr="00191D29">
        <w:t xml:space="preserve">total </w:t>
      </w:r>
      <w:r w:rsidR="00B669E8" w:rsidRPr="00191D29">
        <w:t xml:space="preserve">fuel </w:t>
      </w:r>
      <w:r w:rsidR="00F3126E" w:rsidRPr="00191D29">
        <w:t xml:space="preserve">consumed </w:t>
      </w:r>
      <w:r w:rsidR="00B669E8" w:rsidRPr="00191D29">
        <w:t>by international shipping was eligible for rewards</w:t>
      </w:r>
      <w:r w:rsidR="00F3126E" w:rsidRPr="00191D29">
        <w:t>,</w:t>
      </w:r>
      <w:r w:rsidR="00B669E8" w:rsidRPr="00191D29">
        <w:t xml:space="preserve"> </w:t>
      </w:r>
      <w:r w:rsidR="00FF0811" w:rsidRPr="00191D29">
        <w:t xml:space="preserve">the </w:t>
      </w:r>
      <w:r w:rsidR="003E370A" w:rsidRPr="00191D29">
        <w:t xml:space="preserve">total </w:t>
      </w:r>
      <w:r w:rsidR="00FF0811" w:rsidRPr="00191D29">
        <w:t>cost of funding these rewards</w:t>
      </w:r>
      <w:r w:rsidR="003C7417" w:rsidRPr="00191D29">
        <w:t xml:space="preserve"> </w:t>
      </w:r>
      <w:r w:rsidR="00647598" w:rsidRPr="00191D29">
        <w:t>for</w:t>
      </w:r>
      <w:r w:rsidR="00E859CD" w:rsidRPr="00191D29">
        <w:t xml:space="preserve"> the </w:t>
      </w:r>
      <w:r w:rsidR="001418C9" w:rsidRPr="00191D29">
        <w:t xml:space="preserve">100 million tonnes of </w:t>
      </w:r>
      <w:r w:rsidR="00E859CD" w:rsidRPr="00191D29">
        <w:t>CO</w:t>
      </w:r>
      <w:r w:rsidR="00E859CD" w:rsidRPr="00191D29">
        <w:rPr>
          <w:vertAlign w:val="subscript"/>
        </w:rPr>
        <w:t>2</w:t>
      </w:r>
      <w:r w:rsidR="001418C9" w:rsidRPr="00191D29">
        <w:t>e</w:t>
      </w:r>
      <w:r w:rsidR="00E859CD" w:rsidRPr="00191D29">
        <w:t xml:space="preserve"> emissions prevented </w:t>
      </w:r>
      <w:r w:rsidR="00FF0811" w:rsidRPr="00191D29">
        <w:t xml:space="preserve">would be </w:t>
      </w:r>
      <w:r w:rsidR="005A2F5F" w:rsidRPr="00191D29">
        <w:t xml:space="preserve">just under </w:t>
      </w:r>
      <w:r w:rsidR="007D55C4" w:rsidRPr="00191D29">
        <w:t>US$</w:t>
      </w:r>
      <w:r w:rsidR="00B16D5E" w:rsidRPr="00191D29">
        <w:t>1</w:t>
      </w:r>
      <w:r w:rsidR="000C2F77" w:rsidRPr="00191D29">
        <w:t>0</w:t>
      </w:r>
      <w:r w:rsidR="007D55C4" w:rsidRPr="00191D29">
        <w:t xml:space="preserve"> </w:t>
      </w:r>
      <w:r w:rsidR="00BF1E98" w:rsidRPr="00191D29">
        <w:t>billion</w:t>
      </w:r>
      <w:r w:rsidR="007D55C4" w:rsidRPr="00191D29">
        <w:t xml:space="preserve"> </w:t>
      </w:r>
      <w:r w:rsidR="00225CF7" w:rsidRPr="00191D29">
        <w:t>per</w:t>
      </w:r>
      <w:r w:rsidR="007D55C4" w:rsidRPr="00191D29">
        <w:t xml:space="preserve"> year</w:t>
      </w:r>
      <w:r w:rsidR="008576B8" w:rsidRPr="00191D29">
        <w:t xml:space="preserve">. </w:t>
      </w:r>
      <w:r w:rsidR="00736BA0" w:rsidRPr="00191D29">
        <w:t>(</w:t>
      </w:r>
      <w:r w:rsidR="00E53AC6" w:rsidRPr="00191D29">
        <w:t>In practice</w:t>
      </w:r>
      <w:r w:rsidR="00464165" w:rsidRPr="00191D29">
        <w:t>,</w:t>
      </w:r>
      <w:r w:rsidR="00E10B29" w:rsidRPr="00191D29">
        <w:t xml:space="preserve"> </w:t>
      </w:r>
      <w:r w:rsidR="00AB106B" w:rsidRPr="00191D29">
        <w:t xml:space="preserve">it is probable </w:t>
      </w:r>
      <w:r w:rsidR="00C94FA0" w:rsidRPr="00191D29">
        <w:t xml:space="preserve">that </w:t>
      </w:r>
      <w:r w:rsidR="00CD5A42" w:rsidRPr="00191D29">
        <w:t>t</w:t>
      </w:r>
      <w:r w:rsidR="00BB1023" w:rsidRPr="00191D29">
        <w:t xml:space="preserve">he annual cost of </w:t>
      </w:r>
      <w:r w:rsidR="00831E9F" w:rsidRPr="00191D29">
        <w:t xml:space="preserve">funding the rewards programme </w:t>
      </w:r>
      <w:r w:rsidR="008652CC" w:rsidRPr="00191D29">
        <w:t xml:space="preserve">will </w:t>
      </w:r>
      <w:r w:rsidR="00990AF2" w:rsidRPr="00191D29">
        <w:t>be</w:t>
      </w:r>
      <w:r w:rsidR="00EC7480" w:rsidRPr="00191D29">
        <w:t xml:space="preserve"> somewhat </w:t>
      </w:r>
      <w:r w:rsidR="003A2BD0" w:rsidRPr="00191D29">
        <w:t xml:space="preserve">less </w:t>
      </w:r>
      <w:r w:rsidR="00D733C1" w:rsidRPr="00191D29">
        <w:t xml:space="preserve">than US$10 billion </w:t>
      </w:r>
      <w:r w:rsidR="007E040C" w:rsidRPr="00191D29">
        <w:t>per</w:t>
      </w:r>
      <w:r w:rsidR="00D733C1" w:rsidRPr="00191D29">
        <w:t xml:space="preserve"> year, </w:t>
      </w:r>
      <w:r w:rsidR="00990AF2" w:rsidRPr="00191D29">
        <w:t>as</w:t>
      </w:r>
      <w:r w:rsidR="003A2BD0" w:rsidRPr="00191D29">
        <w:t xml:space="preserve"> </w:t>
      </w:r>
      <w:r w:rsidR="00990AF2" w:rsidRPr="00191D29">
        <w:t xml:space="preserve">achieving </w:t>
      </w:r>
      <w:r w:rsidR="00482FD1" w:rsidRPr="00191D29">
        <w:t xml:space="preserve">the lower end </w:t>
      </w:r>
      <w:r w:rsidR="007A2182" w:rsidRPr="00191D29">
        <w:t xml:space="preserve">of the 2030 IMO level of ambition </w:t>
      </w:r>
      <w:bookmarkStart w:id="12" w:name="_Hlk155331806"/>
      <w:r w:rsidR="00C70420" w:rsidRPr="00191D29">
        <w:t>for</w:t>
      </w:r>
      <w:r w:rsidR="00BE6398" w:rsidRPr="00191D29">
        <w:t xml:space="preserve"> 5% of the energy </w:t>
      </w:r>
      <w:r w:rsidR="00482FD1" w:rsidRPr="00191D29">
        <w:t xml:space="preserve">used </w:t>
      </w:r>
      <w:r w:rsidR="00C11A60" w:rsidRPr="00191D29">
        <w:t xml:space="preserve">by shipping </w:t>
      </w:r>
      <w:r w:rsidR="00E10B29" w:rsidRPr="00191D29">
        <w:t xml:space="preserve">to </w:t>
      </w:r>
      <w:r w:rsidR="00BE6398" w:rsidRPr="00191D29">
        <w:t xml:space="preserve">be generated from zero/near-zero fuels </w:t>
      </w:r>
      <w:bookmarkEnd w:id="12"/>
      <w:r w:rsidR="009D174D">
        <w:t xml:space="preserve">etc. </w:t>
      </w:r>
      <w:r w:rsidR="006F57BE" w:rsidRPr="00191D29">
        <w:t xml:space="preserve">would cost </w:t>
      </w:r>
      <w:r w:rsidR="00AD39A2" w:rsidRPr="00191D29">
        <w:t>a</w:t>
      </w:r>
      <w:r w:rsidR="006F57BE" w:rsidRPr="00191D29">
        <w:t xml:space="preserve">bout </w:t>
      </w:r>
      <w:r w:rsidR="00517923" w:rsidRPr="00191D29">
        <w:t xml:space="preserve">US$5 billion </w:t>
      </w:r>
      <w:r w:rsidR="00363FF1" w:rsidRPr="00191D29">
        <w:t xml:space="preserve">per </w:t>
      </w:r>
      <w:r w:rsidR="00517923" w:rsidRPr="00191D29">
        <w:t>year</w:t>
      </w:r>
      <w:r w:rsidR="00440484" w:rsidRPr="00191D29">
        <w:t xml:space="preserve">, and the total </w:t>
      </w:r>
      <w:r w:rsidR="00CA1544" w:rsidRPr="00191D29">
        <w:t xml:space="preserve">annual </w:t>
      </w:r>
      <w:r w:rsidR="00440484" w:rsidRPr="00191D29">
        <w:t xml:space="preserve">cost </w:t>
      </w:r>
      <w:r w:rsidR="00C70420" w:rsidRPr="00191D29">
        <w:t xml:space="preserve">of the reward programme </w:t>
      </w:r>
      <w:r w:rsidR="00440484" w:rsidRPr="00191D29">
        <w:t>would</w:t>
      </w:r>
      <w:r w:rsidR="00CA1544" w:rsidRPr="00191D29">
        <w:t xml:space="preserve"> </w:t>
      </w:r>
      <w:r w:rsidR="00F955E4" w:rsidRPr="00191D29">
        <w:t xml:space="preserve">be </w:t>
      </w:r>
      <w:r w:rsidR="00CA1544" w:rsidRPr="00191D29">
        <w:t xml:space="preserve">likely to be less </w:t>
      </w:r>
      <w:r w:rsidR="00AC6D8F" w:rsidRPr="00191D29">
        <w:t xml:space="preserve">than this </w:t>
      </w:r>
      <w:r w:rsidR="00CA1544" w:rsidRPr="00191D29">
        <w:t xml:space="preserve">during the </w:t>
      </w:r>
      <w:r w:rsidR="00692904" w:rsidRPr="00191D29">
        <w:t xml:space="preserve">initial </w:t>
      </w:r>
      <w:r w:rsidR="00284261" w:rsidRPr="00191D29">
        <w:t>year</w:t>
      </w:r>
      <w:r w:rsidR="00692904" w:rsidRPr="00191D29">
        <w:t>s</w:t>
      </w:r>
      <w:r w:rsidR="00284261" w:rsidRPr="00191D29">
        <w:t xml:space="preserve"> </w:t>
      </w:r>
      <w:r w:rsidR="00692904" w:rsidRPr="00191D29">
        <w:t xml:space="preserve">of implementation </w:t>
      </w:r>
      <w:r w:rsidR="00CA1544" w:rsidRPr="00191D29">
        <w:t>before 2030</w:t>
      </w:r>
      <w:r w:rsidR="00692904" w:rsidRPr="00191D29">
        <w:t>.</w:t>
      </w:r>
      <w:r w:rsidR="00464165" w:rsidRPr="00191D29">
        <w:t>)</w:t>
      </w:r>
      <w:r w:rsidR="00736BA0" w:rsidRPr="00191D29">
        <w:t xml:space="preserve"> </w:t>
      </w:r>
      <w:r w:rsidR="00AB106B" w:rsidRPr="00191D29">
        <w:t xml:space="preserve"> </w:t>
      </w:r>
      <w:r w:rsidR="00BE6398" w:rsidRPr="00191D29">
        <w:t xml:space="preserve"> </w:t>
      </w:r>
    </w:p>
    <w:p w14:paraId="119A2566" w14:textId="77777777" w:rsidR="008C45B8" w:rsidRPr="00191D29" w:rsidRDefault="008C45B8" w:rsidP="006B337E">
      <w:pPr>
        <w:tabs>
          <w:tab w:val="clear" w:pos="851"/>
        </w:tabs>
      </w:pPr>
    </w:p>
    <w:p w14:paraId="382CC2EC" w14:textId="1E7594FC" w:rsidR="007F6539" w:rsidRPr="00191D29" w:rsidRDefault="000E2E53" w:rsidP="006B337E">
      <w:pPr>
        <w:tabs>
          <w:tab w:val="clear" w:pos="851"/>
        </w:tabs>
      </w:pPr>
      <w:r w:rsidRPr="00191D29">
        <w:t>41</w:t>
      </w:r>
      <w:r w:rsidR="008C45B8" w:rsidRPr="00191D29">
        <w:tab/>
      </w:r>
      <w:r w:rsidR="008576B8" w:rsidRPr="00191D29">
        <w:t xml:space="preserve">Taking account of the </w:t>
      </w:r>
      <w:r w:rsidR="00B962E4" w:rsidRPr="00191D29">
        <w:t xml:space="preserve">possible </w:t>
      </w:r>
      <w:r w:rsidR="006F3B35" w:rsidRPr="00191D29">
        <w:t>[</w:t>
      </w:r>
      <w:r w:rsidR="0030682E" w:rsidRPr="00191D29">
        <w:t>5,000</w:t>
      </w:r>
      <w:r w:rsidR="006F3B35" w:rsidRPr="00191D29">
        <w:t>]</w:t>
      </w:r>
      <w:r w:rsidR="0030682E" w:rsidRPr="00191D29">
        <w:t xml:space="preserve"> GT </w:t>
      </w:r>
      <w:r w:rsidR="00363FF1" w:rsidRPr="00191D29">
        <w:t>and abov</w:t>
      </w:r>
      <w:r w:rsidR="00270336" w:rsidRPr="00191D29">
        <w:t xml:space="preserve">e </w:t>
      </w:r>
      <w:r w:rsidR="0030682E" w:rsidRPr="00191D29">
        <w:t>tonnage threshold</w:t>
      </w:r>
      <w:r w:rsidR="002A23D3" w:rsidRPr="00191D29">
        <w:t xml:space="preserve"> </w:t>
      </w:r>
      <w:r w:rsidR="00B962E4" w:rsidRPr="00191D29">
        <w:t xml:space="preserve">for application of the requirements </w:t>
      </w:r>
      <w:r w:rsidR="002A23D3" w:rsidRPr="00191D29">
        <w:t>(</w:t>
      </w:r>
      <w:r w:rsidR="00FF3118" w:rsidRPr="00191D29">
        <w:t xml:space="preserve">and that some ships </w:t>
      </w:r>
      <w:r w:rsidR="00C31F49" w:rsidRPr="00191D29">
        <w:t xml:space="preserve">will </w:t>
      </w:r>
      <w:r w:rsidR="00FF3118" w:rsidRPr="00191D29">
        <w:t xml:space="preserve">be using fuels </w:t>
      </w:r>
      <w:r w:rsidR="00F0718C" w:rsidRPr="00191D29">
        <w:t xml:space="preserve">with a lower carbon intensity </w:t>
      </w:r>
      <w:r w:rsidR="00AE14AA" w:rsidRPr="00191D29">
        <w:t xml:space="preserve">with </w:t>
      </w:r>
      <w:r w:rsidR="009A134E" w:rsidRPr="00191D29">
        <w:t xml:space="preserve">a lower </w:t>
      </w:r>
      <w:r w:rsidR="001F5413" w:rsidRPr="00191D29">
        <w:t>contribution rate</w:t>
      </w:r>
      <w:r w:rsidR="009A134E" w:rsidRPr="00191D29">
        <w:t xml:space="preserve"> </w:t>
      </w:r>
      <w:r w:rsidR="00AE14AA" w:rsidRPr="00191D29">
        <w:t xml:space="preserve">per tonne of fuel consumed </w:t>
      </w:r>
      <w:r w:rsidR="009A134E" w:rsidRPr="00191D29">
        <w:t>than</w:t>
      </w:r>
      <w:r w:rsidR="006F2F5B" w:rsidRPr="00191D29">
        <w:t xml:space="preserve"> conventional fuel oil</w:t>
      </w:r>
      <w:r w:rsidR="002A23D3" w:rsidRPr="00191D29">
        <w:t>)</w:t>
      </w:r>
      <w:r w:rsidR="006F2F5B" w:rsidRPr="00191D29">
        <w:t xml:space="preserve">, </w:t>
      </w:r>
      <w:r w:rsidR="00F952B5" w:rsidRPr="00191D29">
        <w:t xml:space="preserve">the total </w:t>
      </w:r>
      <w:r w:rsidR="003B6289" w:rsidRPr="00191D29">
        <w:t xml:space="preserve">annual </w:t>
      </w:r>
      <w:r w:rsidR="00373138" w:rsidRPr="00191D29">
        <w:t>contribution</w:t>
      </w:r>
      <w:r w:rsidR="003B6289" w:rsidRPr="00191D29">
        <w:t>s</w:t>
      </w:r>
      <w:r w:rsidR="00F952B5" w:rsidRPr="00191D29">
        <w:t xml:space="preserve"> </w:t>
      </w:r>
      <w:r w:rsidR="003B6289" w:rsidRPr="00191D29">
        <w:t xml:space="preserve">to the IMO fund </w:t>
      </w:r>
      <w:r w:rsidR="00F952B5" w:rsidRPr="00191D29">
        <w:t>made by international shipping</w:t>
      </w:r>
      <w:r w:rsidR="00373138" w:rsidRPr="00191D29">
        <w:t xml:space="preserve"> </w:t>
      </w:r>
      <w:r w:rsidR="00F952B5" w:rsidRPr="00191D29">
        <w:t xml:space="preserve">might be </w:t>
      </w:r>
      <w:r w:rsidR="00825C18" w:rsidRPr="00191D29">
        <w:t xml:space="preserve">equivalent to the emissions produced </w:t>
      </w:r>
      <w:r w:rsidR="00CC6A9D" w:rsidRPr="00191D29">
        <w:t xml:space="preserve">by </w:t>
      </w:r>
      <w:r w:rsidR="00825C18" w:rsidRPr="00191D29">
        <w:t xml:space="preserve">about </w:t>
      </w:r>
      <w:r w:rsidR="00CF6D21" w:rsidRPr="00191D29">
        <w:t xml:space="preserve">250 million tonnes </w:t>
      </w:r>
      <w:r w:rsidR="00825C18" w:rsidRPr="00191D29">
        <w:t>of conventional fuel</w:t>
      </w:r>
      <w:r w:rsidR="00C05E3F" w:rsidRPr="00191D29">
        <w:t xml:space="preserve"> oil</w:t>
      </w:r>
      <w:r w:rsidR="00CC6A9D" w:rsidRPr="00191D29">
        <w:t>. If</w:t>
      </w:r>
      <w:r w:rsidR="00F8348F" w:rsidRPr="00191D29">
        <w:t>,</w:t>
      </w:r>
      <w:r w:rsidR="00751AED" w:rsidRPr="00191D29">
        <w:t xml:space="preserve"> </w:t>
      </w:r>
      <w:r w:rsidR="00F8348F" w:rsidRPr="00191D29">
        <w:t>say</w:t>
      </w:r>
      <w:r w:rsidR="00215FD3" w:rsidRPr="00191D29">
        <w:t>,</w:t>
      </w:r>
      <w:r w:rsidR="00CC6A9D" w:rsidRPr="00191D29">
        <w:t xml:space="preserve"> US</w:t>
      </w:r>
      <w:r w:rsidR="00BD5947" w:rsidRPr="00191D29">
        <w:t>$</w:t>
      </w:r>
      <w:r w:rsidR="00F8348F" w:rsidRPr="00191D29">
        <w:t>10</w:t>
      </w:r>
      <w:r w:rsidR="00CC6A9D" w:rsidRPr="00191D29">
        <w:t xml:space="preserve"> billion </w:t>
      </w:r>
      <w:r w:rsidR="00931E57" w:rsidRPr="00191D29">
        <w:t>per</w:t>
      </w:r>
      <w:r w:rsidR="00CC6A9D" w:rsidRPr="00191D29">
        <w:t xml:space="preserve"> year was required to </w:t>
      </w:r>
      <w:r w:rsidR="00BD5947" w:rsidRPr="00191D29">
        <w:t>ensure that the IMO fund could meet it</w:t>
      </w:r>
      <w:r w:rsidR="00751AED" w:rsidRPr="00191D29">
        <w:t>s</w:t>
      </w:r>
      <w:r w:rsidR="00BD5947" w:rsidRPr="00191D29">
        <w:t xml:space="preserve"> obligations to </w:t>
      </w:r>
      <w:r w:rsidR="00BB1F3A" w:rsidRPr="00191D29">
        <w:t xml:space="preserve">reward </w:t>
      </w:r>
      <w:r w:rsidR="00751AED" w:rsidRPr="00191D29">
        <w:t xml:space="preserve">the </w:t>
      </w:r>
      <w:r w:rsidR="00BD5947" w:rsidRPr="00191D29">
        <w:t xml:space="preserve">maximum amount </w:t>
      </w:r>
      <w:r w:rsidR="005A7BA9" w:rsidRPr="00191D29">
        <w:t>of zero/near-zero GHG fuel</w:t>
      </w:r>
      <w:r w:rsidR="00D42EBA" w:rsidRPr="00191D29">
        <w:t>s</w:t>
      </w:r>
      <w:r w:rsidR="005A7BA9" w:rsidRPr="00191D29">
        <w:t xml:space="preserve"> that might be eligible for rewards</w:t>
      </w:r>
      <w:r w:rsidR="00EE77C0" w:rsidRPr="00191D29">
        <w:t xml:space="preserve">, this would only require a contribution quantum equivalent to about </w:t>
      </w:r>
      <w:r w:rsidR="00773815" w:rsidRPr="00191D29">
        <w:t>US</w:t>
      </w:r>
      <w:r w:rsidR="00606324" w:rsidRPr="00191D29">
        <w:t>$</w:t>
      </w:r>
      <w:r w:rsidR="00773815" w:rsidRPr="00191D29">
        <w:t xml:space="preserve">40 </w:t>
      </w:r>
      <w:r w:rsidR="00550C93" w:rsidRPr="00191D29">
        <w:t xml:space="preserve">per </w:t>
      </w:r>
      <w:r w:rsidR="00773815" w:rsidRPr="00191D29">
        <w:t xml:space="preserve">tonne of fuel </w:t>
      </w:r>
      <w:r w:rsidR="006C7504" w:rsidRPr="00191D29">
        <w:t xml:space="preserve">oil </w:t>
      </w:r>
      <w:r w:rsidR="00871336" w:rsidRPr="00191D29">
        <w:t>(</w:t>
      </w:r>
      <w:r w:rsidR="00C91698" w:rsidRPr="00191D29">
        <w:t>US</w:t>
      </w:r>
      <w:r w:rsidR="00F95C9A" w:rsidRPr="00191D29">
        <w:t>$</w:t>
      </w:r>
      <w:r w:rsidR="006C7504" w:rsidRPr="00191D29">
        <w:t>12.5</w:t>
      </w:r>
      <w:r w:rsidR="00C91698" w:rsidRPr="00191D29">
        <w:t xml:space="preserve"> per tonne of CO</w:t>
      </w:r>
      <w:r w:rsidR="00C91698" w:rsidRPr="00191D29">
        <w:rPr>
          <w:vertAlign w:val="subscript"/>
        </w:rPr>
        <w:t>2</w:t>
      </w:r>
      <w:r w:rsidR="00C91698" w:rsidRPr="00191D29">
        <w:t>e</w:t>
      </w:r>
      <w:r w:rsidR="00871336" w:rsidRPr="00191D29">
        <w:t>)</w:t>
      </w:r>
      <w:r w:rsidR="003A5ADA" w:rsidRPr="00191D29">
        <w:t>.</w:t>
      </w:r>
    </w:p>
    <w:p w14:paraId="0432B3FD" w14:textId="77777777" w:rsidR="007F6539" w:rsidRPr="00191D29" w:rsidRDefault="007F6539" w:rsidP="006B337E">
      <w:pPr>
        <w:tabs>
          <w:tab w:val="clear" w:pos="851"/>
        </w:tabs>
      </w:pPr>
    </w:p>
    <w:p w14:paraId="2B8F36D0" w14:textId="71885A49" w:rsidR="00C56CC3" w:rsidRPr="00191D29" w:rsidRDefault="000E2E53" w:rsidP="006B337E">
      <w:pPr>
        <w:tabs>
          <w:tab w:val="clear" w:pos="851"/>
        </w:tabs>
      </w:pPr>
      <w:r w:rsidRPr="00191D29">
        <w:t>42</w:t>
      </w:r>
      <w:r w:rsidR="003A5ADA" w:rsidRPr="00191D29">
        <w:tab/>
      </w:r>
      <w:r w:rsidR="00DD0566" w:rsidRPr="00191D29">
        <w:t xml:space="preserve">It is </w:t>
      </w:r>
      <w:r w:rsidR="00036AA4" w:rsidRPr="00191D29">
        <w:t xml:space="preserve">very </w:t>
      </w:r>
      <w:r w:rsidR="00DD0566" w:rsidRPr="00191D29">
        <w:t>important to note, in</w:t>
      </w:r>
      <w:r w:rsidR="00CB637D" w:rsidRPr="00191D29">
        <w:t xml:space="preserve"> </w:t>
      </w:r>
      <w:r w:rsidR="00DD0566" w:rsidRPr="00191D29">
        <w:t xml:space="preserve">the </w:t>
      </w:r>
      <w:r w:rsidR="00CB637D" w:rsidRPr="00191D29">
        <w:t>example</w:t>
      </w:r>
      <w:r w:rsidR="00DD0566" w:rsidRPr="00191D29">
        <w:t xml:space="preserve"> above</w:t>
      </w:r>
      <w:r w:rsidR="00CB637D" w:rsidRPr="00191D29">
        <w:t xml:space="preserve">, </w:t>
      </w:r>
      <w:r w:rsidR="00DD0566" w:rsidRPr="00191D29">
        <w:t xml:space="preserve">that </w:t>
      </w:r>
      <w:r w:rsidR="00CB637D" w:rsidRPr="00191D29">
        <w:t>t</w:t>
      </w:r>
      <w:r w:rsidR="00C15307" w:rsidRPr="00191D29">
        <w:t xml:space="preserve">he </w:t>
      </w:r>
      <w:r w:rsidR="00FF43AA" w:rsidRPr="00191D29">
        <w:t xml:space="preserve">total contribution </w:t>
      </w:r>
      <w:r w:rsidR="00C15307" w:rsidRPr="00191D29">
        <w:t xml:space="preserve">quantum would be </w:t>
      </w:r>
      <w:r w:rsidR="00736EEF" w:rsidRPr="00191D29">
        <w:t xml:space="preserve">somewhat </w:t>
      </w:r>
      <w:r w:rsidR="00C15307" w:rsidRPr="00191D29">
        <w:t xml:space="preserve">higher </w:t>
      </w:r>
      <w:r w:rsidR="001338F6" w:rsidRPr="00191D29">
        <w:t>than th</w:t>
      </w:r>
      <w:r w:rsidR="00473082" w:rsidRPr="00191D29">
        <w:t>e</w:t>
      </w:r>
      <w:r w:rsidR="001338F6" w:rsidRPr="00191D29">
        <w:t xml:space="preserve"> amount </w:t>
      </w:r>
      <w:r w:rsidR="0082270B" w:rsidRPr="00191D29">
        <w:t xml:space="preserve">indicated, </w:t>
      </w:r>
      <w:r w:rsidR="00C15307" w:rsidRPr="00191D29">
        <w:t xml:space="preserve">depending on </w:t>
      </w:r>
      <w:r w:rsidR="006A04AC" w:rsidRPr="00191D29">
        <w:t>the</w:t>
      </w:r>
      <w:r w:rsidR="0082270B" w:rsidRPr="00191D29">
        <w:t xml:space="preserve"> amount</w:t>
      </w:r>
      <w:r w:rsidR="006A04AC" w:rsidRPr="00191D29">
        <w:t xml:space="preserve"> of funds </w:t>
      </w:r>
      <w:r w:rsidR="00F103E1" w:rsidRPr="00191D29">
        <w:t xml:space="preserve">collected by the ZESF annually </w:t>
      </w:r>
      <w:r w:rsidR="006A04AC" w:rsidRPr="00191D29">
        <w:t xml:space="preserve">that IMO </w:t>
      </w:r>
      <w:r w:rsidR="003762BC" w:rsidRPr="00191D29">
        <w:t xml:space="preserve">initially </w:t>
      </w:r>
      <w:r w:rsidR="006A04AC" w:rsidRPr="00191D29">
        <w:t xml:space="preserve">decided to allocate </w:t>
      </w:r>
      <w:r w:rsidR="00847855" w:rsidRPr="00191D29">
        <w:t>for purpose</w:t>
      </w:r>
      <w:r w:rsidR="00870910" w:rsidRPr="00191D29">
        <w:t>s</w:t>
      </w:r>
      <w:r w:rsidR="00847855" w:rsidRPr="00191D29">
        <w:t xml:space="preserve"> </w:t>
      </w:r>
      <w:r w:rsidR="00870910" w:rsidRPr="00191D29">
        <w:t>other than rewards</w:t>
      </w:r>
      <w:r w:rsidR="001338F6" w:rsidRPr="00191D29">
        <w:t>,</w:t>
      </w:r>
      <w:r w:rsidR="00870910" w:rsidRPr="00191D29">
        <w:t xml:space="preserve"> </w:t>
      </w:r>
      <w:r w:rsidR="00847855" w:rsidRPr="00191D29">
        <w:t xml:space="preserve">such as support for the maritime GHG </w:t>
      </w:r>
      <w:r w:rsidR="00EC674E" w:rsidRPr="00191D29">
        <w:t xml:space="preserve">reduction </w:t>
      </w:r>
      <w:r w:rsidR="00A97490" w:rsidRPr="00191D29">
        <w:t>efforts of developing countries</w:t>
      </w:r>
      <w:r w:rsidR="00736EEF" w:rsidRPr="00191D29">
        <w:t xml:space="preserve"> </w:t>
      </w:r>
      <w:r w:rsidR="00836F0E" w:rsidRPr="00191D29">
        <w:t xml:space="preserve">via the IMSF </w:t>
      </w:r>
      <w:r w:rsidR="00736EEF" w:rsidRPr="00191D29">
        <w:t>(</w:t>
      </w:r>
      <w:r w:rsidR="00A726B9" w:rsidRPr="00191D29">
        <w:t xml:space="preserve">or if the reward rate </w:t>
      </w:r>
      <w:r w:rsidR="00933516" w:rsidRPr="00191D29">
        <w:t>for the use of zero/near zero GHG fu</w:t>
      </w:r>
      <w:r w:rsidR="00726352" w:rsidRPr="00191D29">
        <w:t xml:space="preserve">els </w:t>
      </w:r>
      <w:r w:rsidR="00A726B9" w:rsidRPr="00191D29">
        <w:t xml:space="preserve">was set at </w:t>
      </w:r>
      <w:r w:rsidR="001E49DE" w:rsidRPr="00191D29">
        <w:t xml:space="preserve">a </w:t>
      </w:r>
      <w:r w:rsidR="001E2BA7" w:rsidRPr="00191D29">
        <w:t xml:space="preserve">level higher than US$100 per tonne of </w:t>
      </w:r>
      <w:r w:rsidR="00F238F6" w:rsidRPr="00191D29">
        <w:t>CO</w:t>
      </w:r>
      <w:r w:rsidR="00F238F6" w:rsidRPr="00191D29">
        <w:rPr>
          <w:vertAlign w:val="subscript"/>
        </w:rPr>
        <w:t>2</w:t>
      </w:r>
      <w:r w:rsidR="00F238F6" w:rsidRPr="00191D29">
        <w:t>e prevented</w:t>
      </w:r>
      <w:r w:rsidR="00662461" w:rsidRPr="00191D29">
        <w:t xml:space="preserve">). Nevertheless, </w:t>
      </w:r>
      <w:r w:rsidR="001338F6" w:rsidRPr="00191D29">
        <w:t>s</w:t>
      </w:r>
      <w:r w:rsidR="00780F2E" w:rsidRPr="00191D29">
        <w:t xml:space="preserve">ubject to </w:t>
      </w:r>
      <w:r w:rsidR="00527926" w:rsidRPr="00191D29">
        <w:t xml:space="preserve">confirmation by </w:t>
      </w:r>
      <w:r w:rsidR="00780F2E" w:rsidRPr="00191D29">
        <w:t>th</w:t>
      </w:r>
      <w:r w:rsidR="00CE1B58" w:rsidRPr="00191D29">
        <w:t xml:space="preserve">e Comprehensive Impact Assessment </w:t>
      </w:r>
      <w:r w:rsidR="00DE0DB8" w:rsidRPr="00191D29">
        <w:t>(CIA)</w:t>
      </w:r>
      <w:r w:rsidR="00780F2E" w:rsidRPr="00191D29">
        <w:t xml:space="preserve"> initiated by </w:t>
      </w:r>
      <w:r w:rsidR="00504867" w:rsidRPr="00191D29">
        <w:t>MEPC 80,</w:t>
      </w:r>
      <w:r w:rsidR="000618ED" w:rsidRPr="00191D29">
        <w:t xml:space="preserve"> and as suggested by</w:t>
      </w:r>
      <w:r w:rsidR="00B0433B" w:rsidRPr="00191D29">
        <w:t xml:space="preserve"> the updated impact assessment </w:t>
      </w:r>
      <w:r w:rsidR="00C10B1A" w:rsidRPr="00191D29">
        <w:t xml:space="preserve">provided by ICS </w:t>
      </w:r>
      <w:r w:rsidR="0093184B" w:rsidRPr="00191D29">
        <w:t>in document</w:t>
      </w:r>
      <w:r w:rsidR="005D3899" w:rsidRPr="00191D29">
        <w:t xml:space="preserve"> ISWG-GHG </w:t>
      </w:r>
      <w:r w:rsidR="00C53A20" w:rsidRPr="00191D29">
        <w:t>16/2/</w:t>
      </w:r>
      <w:r w:rsidR="00D93480">
        <w:t>2</w:t>
      </w:r>
      <w:r w:rsidR="00C53A20" w:rsidRPr="00191D29">
        <w:t xml:space="preserve">, </w:t>
      </w:r>
      <w:r w:rsidR="0098456B" w:rsidRPr="00191D29">
        <w:t>this demonstrates that</w:t>
      </w:r>
      <w:r w:rsidR="0089773F" w:rsidRPr="00191D29">
        <w:t xml:space="preserve">  </w:t>
      </w:r>
      <w:r w:rsidR="00905398" w:rsidRPr="00191D29">
        <w:t xml:space="preserve">– </w:t>
      </w:r>
      <w:r w:rsidR="0098456B" w:rsidRPr="00191D29">
        <w:t xml:space="preserve">with </w:t>
      </w:r>
      <w:r w:rsidR="000D0748" w:rsidRPr="00191D29">
        <w:t xml:space="preserve">political </w:t>
      </w:r>
      <w:r w:rsidR="0098456B" w:rsidRPr="00191D29">
        <w:t>will</w:t>
      </w:r>
      <w:r w:rsidR="009D102A" w:rsidRPr="00191D29">
        <w:t xml:space="preserve"> </w:t>
      </w:r>
      <w:r w:rsidR="00BA1D22" w:rsidRPr="00191D29">
        <w:t xml:space="preserve">– it </w:t>
      </w:r>
      <w:r w:rsidR="00504867" w:rsidRPr="00191D29">
        <w:t xml:space="preserve">should be possible to set the contribution quantum at </w:t>
      </w:r>
      <w:r w:rsidR="00DE0DB8" w:rsidRPr="00191D29">
        <w:t xml:space="preserve">a </w:t>
      </w:r>
      <w:r w:rsidR="00504867" w:rsidRPr="00191D29">
        <w:t xml:space="preserve">level </w:t>
      </w:r>
      <w:r w:rsidR="0098456B" w:rsidRPr="00191D29">
        <w:t xml:space="preserve">which </w:t>
      </w:r>
      <w:r w:rsidR="00C326B9" w:rsidRPr="00191D29">
        <w:t xml:space="preserve">is </w:t>
      </w:r>
      <w:r w:rsidR="00504867" w:rsidRPr="00191D29">
        <w:t xml:space="preserve">sufficient to achieve the purposes of the mechanism whilst </w:t>
      </w:r>
      <w:r w:rsidR="0098456B" w:rsidRPr="00191D29">
        <w:t xml:space="preserve">being politically acceptable and </w:t>
      </w:r>
      <w:r w:rsidR="00504867" w:rsidRPr="00191D29">
        <w:t xml:space="preserve">avoiding </w:t>
      </w:r>
      <w:r w:rsidR="00DE0DB8" w:rsidRPr="00191D29">
        <w:t>disproportionately negative imp</w:t>
      </w:r>
      <w:r w:rsidR="00F2672F" w:rsidRPr="00191D29">
        <w:t>act on States.</w:t>
      </w:r>
      <w:r w:rsidR="00AF70A1" w:rsidRPr="00191D29">
        <w:t xml:space="preserve"> </w:t>
      </w:r>
    </w:p>
    <w:p w14:paraId="38223AE1" w14:textId="77777777" w:rsidR="00C56CC3" w:rsidRPr="00191D29" w:rsidRDefault="00C56CC3" w:rsidP="006B337E">
      <w:pPr>
        <w:tabs>
          <w:tab w:val="clear" w:pos="851"/>
        </w:tabs>
      </w:pPr>
    </w:p>
    <w:p w14:paraId="758B7BE0" w14:textId="0ABE6548" w:rsidR="00EF72EF" w:rsidRPr="00191D29" w:rsidRDefault="00994874" w:rsidP="006B337E">
      <w:pPr>
        <w:tabs>
          <w:tab w:val="clear" w:pos="851"/>
        </w:tabs>
        <w:rPr>
          <w:b/>
          <w:bCs/>
        </w:rPr>
      </w:pPr>
      <w:r w:rsidRPr="00191D29">
        <w:rPr>
          <w:b/>
          <w:bCs/>
        </w:rPr>
        <w:t xml:space="preserve">Minimal </w:t>
      </w:r>
      <w:r w:rsidR="00363FF1" w:rsidRPr="00191D29">
        <w:rPr>
          <w:b/>
          <w:bCs/>
        </w:rPr>
        <w:t>administrative burden</w:t>
      </w:r>
      <w:r w:rsidR="007D0C0F" w:rsidRPr="00191D29">
        <w:rPr>
          <w:b/>
          <w:bCs/>
        </w:rPr>
        <w:t xml:space="preserve"> for enforcement </w:t>
      </w:r>
    </w:p>
    <w:p w14:paraId="7AAA7F00" w14:textId="77777777" w:rsidR="005D4C42" w:rsidRPr="00191D29" w:rsidRDefault="005D4C42" w:rsidP="006B337E">
      <w:pPr>
        <w:tabs>
          <w:tab w:val="clear" w:pos="851"/>
        </w:tabs>
      </w:pPr>
    </w:p>
    <w:p w14:paraId="57C04057" w14:textId="079236DA" w:rsidR="00B65189" w:rsidRPr="00191D29" w:rsidRDefault="005D0B49" w:rsidP="005D4C42">
      <w:pPr>
        <w:tabs>
          <w:tab w:val="clear" w:pos="851"/>
        </w:tabs>
      </w:pPr>
      <w:r w:rsidRPr="00191D29">
        <w:t>43</w:t>
      </w:r>
      <w:r w:rsidR="00B65189" w:rsidRPr="00191D29">
        <w:tab/>
        <w:t xml:space="preserve">A key consideration for the adoption of IMO provisions is uniform and effective implementation and enforcement, and </w:t>
      </w:r>
      <w:r w:rsidR="008C5FC9">
        <w:t>the co-spo</w:t>
      </w:r>
      <w:r w:rsidR="00AB2FBA">
        <w:t>nsors</w:t>
      </w:r>
      <w:r w:rsidR="00B65189" w:rsidRPr="00191D29">
        <w:t xml:space="preserve"> consider </w:t>
      </w:r>
      <w:r w:rsidR="0098353F" w:rsidRPr="00191D29">
        <w:t xml:space="preserve">that </w:t>
      </w:r>
      <w:r w:rsidR="00B65189" w:rsidRPr="00191D29">
        <w:t>the Fund and Reward (Feebate) mechanism provides an important balance between facilitating a rapidly accelerated transition to net zero and minimi</w:t>
      </w:r>
      <w:r w:rsidR="00544FA1">
        <w:t>z</w:t>
      </w:r>
      <w:r w:rsidR="00B65189" w:rsidRPr="00191D29">
        <w:t>ing administrative burdens</w:t>
      </w:r>
      <w:r w:rsidR="002567EA" w:rsidRPr="00191D29">
        <w:t xml:space="preserve"> for Administrations, the Organization an</w:t>
      </w:r>
      <w:r w:rsidR="00E278E3" w:rsidRPr="00191D29">
        <w:t>d</w:t>
      </w:r>
      <w:r w:rsidR="002567EA" w:rsidRPr="00191D29">
        <w:t xml:space="preserve"> shipping companies</w:t>
      </w:r>
      <w:r w:rsidR="0098353F" w:rsidRPr="00191D29">
        <w:t xml:space="preserve"> (the majority of which are </w:t>
      </w:r>
      <w:r w:rsidR="00F34857" w:rsidRPr="00191D29">
        <w:t>SMEs).</w:t>
      </w:r>
    </w:p>
    <w:p w14:paraId="2B020026" w14:textId="77777777" w:rsidR="00B65189" w:rsidRPr="00191D29" w:rsidRDefault="00B65189" w:rsidP="005D4C42">
      <w:pPr>
        <w:tabs>
          <w:tab w:val="clear" w:pos="851"/>
        </w:tabs>
      </w:pPr>
    </w:p>
    <w:p w14:paraId="03CDF9FA" w14:textId="52472749" w:rsidR="000261EC" w:rsidRPr="00191D29" w:rsidRDefault="005D0B49" w:rsidP="005D4C42">
      <w:pPr>
        <w:tabs>
          <w:tab w:val="clear" w:pos="851"/>
        </w:tabs>
      </w:pPr>
      <w:r w:rsidRPr="00191D29">
        <w:lastRenderedPageBreak/>
        <w:t>44</w:t>
      </w:r>
      <w:r w:rsidR="00DB1FF7" w:rsidRPr="00191D29">
        <w:tab/>
      </w:r>
      <w:r w:rsidR="00581D8D" w:rsidRPr="00191D29">
        <w:t>T</w:t>
      </w:r>
      <w:r w:rsidR="005D4C42" w:rsidRPr="00191D29">
        <w:t>o support the implementation of the proposed</w:t>
      </w:r>
      <w:r w:rsidR="00581D8D" w:rsidRPr="00191D29">
        <w:t xml:space="preserve"> Zero Emission Shipping Fund</w:t>
      </w:r>
      <w:r w:rsidR="005D4C42" w:rsidRPr="00191D29">
        <w:t xml:space="preserve"> (</w:t>
      </w:r>
      <w:r w:rsidR="00581D8D" w:rsidRPr="00191D29">
        <w:t>ZE</w:t>
      </w:r>
      <w:r w:rsidR="005D4C42" w:rsidRPr="00191D29">
        <w:t xml:space="preserve">SF), the contribution system will utilize the existing IMO </w:t>
      </w:r>
      <w:r w:rsidR="00581D8D" w:rsidRPr="00191D29">
        <w:t xml:space="preserve">Fuel Oil Data Collection </w:t>
      </w:r>
      <w:r w:rsidR="008D5E33" w:rsidRPr="00191D29">
        <w:t>S</w:t>
      </w:r>
      <w:r w:rsidR="00581D8D" w:rsidRPr="00191D29">
        <w:t xml:space="preserve">ystem </w:t>
      </w:r>
      <w:r w:rsidR="008D5E33" w:rsidRPr="00191D29">
        <w:t>(</w:t>
      </w:r>
      <w:r w:rsidR="005D4C42" w:rsidRPr="00191D29">
        <w:t>DCS</w:t>
      </w:r>
      <w:r w:rsidR="008D5E33" w:rsidRPr="00191D29">
        <w:t>)</w:t>
      </w:r>
      <w:r w:rsidR="005D4C42" w:rsidRPr="00191D29">
        <w:t xml:space="preserve"> for fuel oil consumption of ships, which will greatly minimize the administrative burden on Member States. </w:t>
      </w:r>
    </w:p>
    <w:p w14:paraId="51A11B04" w14:textId="77777777" w:rsidR="000A45AC" w:rsidRPr="00191D29" w:rsidRDefault="000A45AC" w:rsidP="005D4C42">
      <w:pPr>
        <w:tabs>
          <w:tab w:val="clear" w:pos="851"/>
        </w:tabs>
        <w:sectPr w:rsidR="000A45AC" w:rsidRPr="00191D29" w:rsidSect="00DF3E2F">
          <w:headerReference w:type="even" r:id="rId20"/>
          <w:headerReference w:type="default" r:id="rId21"/>
          <w:footnotePr>
            <w:numRestart w:val="eachSect"/>
          </w:footnotePr>
          <w:type w:val="continuous"/>
          <w:pgSz w:w="11906" w:h="16838"/>
          <w:pgMar w:top="1440" w:right="1440" w:bottom="1440" w:left="1440" w:header="709" w:footer="709" w:gutter="0"/>
          <w:pgNumType w:start="1"/>
          <w:cols w:space="708"/>
          <w:titlePg/>
          <w:docGrid w:linePitch="360"/>
        </w:sectPr>
      </w:pPr>
    </w:p>
    <w:p w14:paraId="4503A24C" w14:textId="6D7C38EF" w:rsidR="000261EC" w:rsidRPr="00191D29" w:rsidRDefault="000261EC" w:rsidP="005D4C42">
      <w:pPr>
        <w:tabs>
          <w:tab w:val="clear" w:pos="851"/>
        </w:tabs>
      </w:pPr>
    </w:p>
    <w:p w14:paraId="689300B2" w14:textId="2F8FD5D2" w:rsidR="00DD71E4" w:rsidRPr="00191D29" w:rsidRDefault="005D0B49" w:rsidP="005D4C42">
      <w:pPr>
        <w:tabs>
          <w:tab w:val="clear" w:pos="851"/>
        </w:tabs>
      </w:pPr>
      <w:r w:rsidRPr="00191D29">
        <w:t>45</w:t>
      </w:r>
      <w:r w:rsidR="00000104" w:rsidRPr="00191D29">
        <w:tab/>
      </w:r>
      <w:r w:rsidR="005D4C42" w:rsidRPr="00191D29">
        <w:t xml:space="preserve">The </w:t>
      </w:r>
      <w:r w:rsidR="000261EC" w:rsidRPr="00191D29">
        <w:t>ZESF</w:t>
      </w:r>
      <w:r w:rsidR="005D4C42" w:rsidRPr="00191D29">
        <w:t xml:space="preserve"> will carry out all the functions necessary to calculate the contributions to be made by ships, </w:t>
      </w:r>
      <w:r w:rsidR="00000104" w:rsidRPr="00191D29">
        <w:t xml:space="preserve">and the rewards to </w:t>
      </w:r>
      <w:r w:rsidR="007F5EC0" w:rsidRPr="00191D29">
        <w:t xml:space="preserve">be received by ships </w:t>
      </w:r>
      <w:r w:rsidR="003D34C2" w:rsidRPr="00191D29">
        <w:t>using eligible zero/</w:t>
      </w:r>
      <w:r w:rsidR="00706C77" w:rsidRPr="00191D29">
        <w:t>near</w:t>
      </w:r>
      <w:r w:rsidR="00482BC7" w:rsidRPr="00191D29">
        <w:t>-</w:t>
      </w:r>
      <w:r w:rsidR="00706C77" w:rsidRPr="00191D29">
        <w:t xml:space="preserve">zero </w:t>
      </w:r>
      <w:r w:rsidR="00A8157B" w:rsidRPr="00191D29">
        <w:t xml:space="preserve">GHG </w:t>
      </w:r>
      <w:r w:rsidR="00706C77" w:rsidRPr="00191D29">
        <w:t>fuels</w:t>
      </w:r>
      <w:r w:rsidR="00CF0D12" w:rsidRPr="00191D29">
        <w:t>,</w:t>
      </w:r>
      <w:r w:rsidR="00706C77" w:rsidRPr="00191D29">
        <w:t xml:space="preserve"> </w:t>
      </w:r>
      <w:r w:rsidR="004C24C9">
        <w:t>energy sources and technologies</w:t>
      </w:r>
      <w:r w:rsidR="00234B81">
        <w:t xml:space="preserve">, </w:t>
      </w:r>
      <w:r w:rsidR="005D4C42" w:rsidRPr="00191D29">
        <w:t>collecting these contributions</w:t>
      </w:r>
      <w:r w:rsidR="00706C77" w:rsidRPr="00191D29">
        <w:t xml:space="preserve"> and </w:t>
      </w:r>
      <w:r w:rsidR="00401488" w:rsidRPr="00191D29">
        <w:t>disbursing</w:t>
      </w:r>
      <w:r w:rsidR="00AF2BD0" w:rsidRPr="00191D29">
        <w:t xml:space="preserve"> reward</w:t>
      </w:r>
      <w:r w:rsidR="00401488" w:rsidRPr="00191D29">
        <w:t>s</w:t>
      </w:r>
      <w:r w:rsidR="00AF2BD0" w:rsidRPr="00191D29">
        <w:t xml:space="preserve"> </w:t>
      </w:r>
      <w:r w:rsidR="005D4C42" w:rsidRPr="00191D29">
        <w:t>using a fully automated system</w:t>
      </w:r>
      <w:r w:rsidR="00CF0D12" w:rsidRPr="00191D29">
        <w:t>,</w:t>
      </w:r>
      <w:r w:rsidR="005D4C42" w:rsidRPr="00191D29">
        <w:t xml:space="preserve"> and providing evidence that the required contributions have been made which will be presented by the ship to its flag State. </w:t>
      </w:r>
    </w:p>
    <w:p w14:paraId="7E3A15F0" w14:textId="77777777" w:rsidR="00DD71E4" w:rsidRPr="00191D29" w:rsidRDefault="00DD71E4" w:rsidP="005D4C42">
      <w:pPr>
        <w:tabs>
          <w:tab w:val="clear" w:pos="851"/>
        </w:tabs>
      </w:pPr>
    </w:p>
    <w:p w14:paraId="46414100" w14:textId="04F2AB40" w:rsidR="00DD71E4" w:rsidRPr="00191D29" w:rsidRDefault="005D0B49" w:rsidP="005D4C42">
      <w:pPr>
        <w:tabs>
          <w:tab w:val="clear" w:pos="851"/>
        </w:tabs>
      </w:pPr>
      <w:r w:rsidRPr="00191D29">
        <w:t>46</w:t>
      </w:r>
      <w:r w:rsidR="00401488" w:rsidRPr="00191D29">
        <w:tab/>
      </w:r>
      <w:r w:rsidR="00DD71E4" w:rsidRPr="00191D29">
        <w:t xml:space="preserve">All that would be required of </w:t>
      </w:r>
      <w:r w:rsidR="005D4C42" w:rsidRPr="00191D29">
        <w:t>Administrations</w:t>
      </w:r>
      <w:r w:rsidR="00883CDF" w:rsidRPr="00191D29">
        <w:t xml:space="preserve"> </w:t>
      </w:r>
      <w:r w:rsidR="005D4C42" w:rsidRPr="00191D29">
        <w:t xml:space="preserve">would be to issue the ship with a Statement of Compliance, </w:t>
      </w:r>
      <w:r w:rsidR="001C5A89" w:rsidRPr="00191D29">
        <w:t xml:space="preserve">confirming that the fuel consumption data provided by the ship to the </w:t>
      </w:r>
      <w:r w:rsidR="00DD6A54" w:rsidRPr="00191D29">
        <w:t xml:space="preserve">ZESF matches the data </w:t>
      </w:r>
      <w:r w:rsidR="0036629F" w:rsidRPr="00191D29">
        <w:t xml:space="preserve">previously </w:t>
      </w:r>
      <w:r w:rsidR="00DD6A54" w:rsidRPr="00191D29">
        <w:t xml:space="preserve">reported </w:t>
      </w:r>
      <w:r w:rsidR="0036629F" w:rsidRPr="00191D29">
        <w:t>by the ship for the DCS</w:t>
      </w:r>
      <w:r w:rsidR="0016723E" w:rsidRPr="00191D29">
        <w:t>,</w:t>
      </w:r>
      <w:r w:rsidR="0036629F" w:rsidRPr="00191D29">
        <w:t xml:space="preserve"> </w:t>
      </w:r>
      <w:r w:rsidR="005D4C42" w:rsidRPr="00191D29">
        <w:t xml:space="preserve">which would be used as the primary means of demonstrating compliance to port State control. No contributions from ships will be collected by </w:t>
      </w:r>
      <w:r w:rsidR="0016723E" w:rsidRPr="00191D29">
        <w:t>g</w:t>
      </w:r>
      <w:r w:rsidR="005D4C42" w:rsidRPr="00191D29">
        <w:t xml:space="preserve">overnments or maritime Administrations and all contributions by ships will be made directly to the IMSF. </w:t>
      </w:r>
    </w:p>
    <w:p w14:paraId="2D9A1885" w14:textId="77777777" w:rsidR="00DD71E4" w:rsidRPr="00191D29" w:rsidRDefault="00DD71E4" w:rsidP="005D4C42">
      <w:pPr>
        <w:tabs>
          <w:tab w:val="clear" w:pos="851"/>
        </w:tabs>
      </w:pPr>
    </w:p>
    <w:p w14:paraId="44A917CF" w14:textId="1AA41762" w:rsidR="00FC7A27" w:rsidRPr="00191D29" w:rsidRDefault="00807991" w:rsidP="00B65189">
      <w:pPr>
        <w:tabs>
          <w:tab w:val="clear" w:pos="851"/>
        </w:tabs>
      </w:pPr>
      <w:r w:rsidRPr="00191D29">
        <w:t>4</w:t>
      </w:r>
      <w:r w:rsidR="005D0B49" w:rsidRPr="00191D29">
        <w:t>7</w:t>
      </w:r>
      <w:r w:rsidR="00FC7A27" w:rsidRPr="00191D29">
        <w:tab/>
        <w:t>As set out in document ISWG-GHG 16/2</w:t>
      </w:r>
      <w:r w:rsidR="00FC7A27" w:rsidRPr="00D93480">
        <w:t>/</w:t>
      </w:r>
      <w:r w:rsidR="00D93480" w:rsidRPr="00D93480">
        <w:t>1</w:t>
      </w:r>
      <w:r w:rsidR="00FC7A27" w:rsidRPr="00D93480">
        <w:t>,</w:t>
      </w:r>
      <w:r w:rsidR="00FC7A27" w:rsidRPr="00191D29">
        <w:t xml:space="preserve"> ICS has developed a working prototype for a fully automated </w:t>
      </w:r>
      <w:r w:rsidR="007D1D20" w:rsidRPr="00191D29">
        <w:t xml:space="preserve">(internet-based) </w:t>
      </w:r>
      <w:r w:rsidR="00FC7A27" w:rsidRPr="00191D29">
        <w:t xml:space="preserve">system to collect contributions by ships to </w:t>
      </w:r>
      <w:r w:rsidR="00217229" w:rsidRPr="00191D29">
        <w:t>the ZESF</w:t>
      </w:r>
      <w:r w:rsidR="00FC7A27" w:rsidRPr="00191D29">
        <w:t xml:space="preserve">, and calculate and disperse rewards to ships using eligible </w:t>
      </w:r>
      <w:r w:rsidR="0062179D" w:rsidRPr="00191D29">
        <w:t>zero/near-zero GHG</w:t>
      </w:r>
      <w:r w:rsidR="00FC7A27" w:rsidRPr="00191D29">
        <w:t xml:space="preserve"> fuels</w:t>
      </w:r>
      <w:r w:rsidR="00151ADD">
        <w:t xml:space="preserve"> and technologies</w:t>
      </w:r>
      <w:r w:rsidR="00363FF1" w:rsidRPr="00191D29">
        <w:t>,</w:t>
      </w:r>
      <w:r w:rsidR="00FC7A27" w:rsidRPr="00191D29">
        <w:t xml:space="preserve"> to demonstrate how this would involve minimal administrative burdens for Member States and would be feasible for the Organization to establish. An internet link to the prototype contribution and reward system can be found in document ISWG-GHG 16/2/</w:t>
      </w:r>
      <w:r w:rsidR="00E35340">
        <w:t>1</w:t>
      </w:r>
      <w:r w:rsidR="000040EC">
        <w:t xml:space="preserve"> (ICS)</w:t>
      </w:r>
      <w:r w:rsidR="00FC7A27" w:rsidRPr="00191D29">
        <w:t>.</w:t>
      </w:r>
      <w:r w:rsidR="004F0060" w:rsidRPr="00191D29">
        <w:t xml:space="preserve"> The </w:t>
      </w:r>
      <w:r w:rsidR="00BA4355" w:rsidRPr="00191D29">
        <w:t xml:space="preserve">total </w:t>
      </w:r>
      <w:r w:rsidR="004F0060" w:rsidRPr="00191D29">
        <w:t>cost of</w:t>
      </w:r>
      <w:r w:rsidR="00462508" w:rsidRPr="00191D29">
        <w:t xml:space="preserve"> developing the fully working system is estimated </w:t>
      </w:r>
      <w:r w:rsidR="000040EC">
        <w:t xml:space="preserve">by ICS </w:t>
      </w:r>
      <w:r w:rsidR="00462508" w:rsidRPr="00191D29">
        <w:t xml:space="preserve">to be </w:t>
      </w:r>
      <w:r w:rsidR="00363FF1" w:rsidRPr="00191D29">
        <w:t>around</w:t>
      </w:r>
      <w:r w:rsidR="00462508" w:rsidRPr="00191D29">
        <w:t xml:space="preserve"> </w:t>
      </w:r>
      <w:r w:rsidR="005A7B40" w:rsidRPr="00191D29">
        <w:t xml:space="preserve">one million </w:t>
      </w:r>
      <w:r w:rsidR="00363FF1" w:rsidRPr="00191D29">
        <w:t>US dollars</w:t>
      </w:r>
      <w:r w:rsidR="005A7B40" w:rsidRPr="00191D29">
        <w:t>.</w:t>
      </w:r>
    </w:p>
    <w:p w14:paraId="29D17C9A" w14:textId="77777777" w:rsidR="005A7B40" w:rsidRPr="00191D29" w:rsidRDefault="005A7B40" w:rsidP="00B65189">
      <w:pPr>
        <w:tabs>
          <w:tab w:val="clear" w:pos="851"/>
        </w:tabs>
      </w:pPr>
    </w:p>
    <w:p w14:paraId="4D4732E2" w14:textId="5AC675CF" w:rsidR="005A7B40" w:rsidRPr="00191D29" w:rsidRDefault="00807991" w:rsidP="00B65189">
      <w:pPr>
        <w:tabs>
          <w:tab w:val="clear" w:pos="851"/>
        </w:tabs>
      </w:pPr>
      <w:r w:rsidRPr="00191D29">
        <w:t>4</w:t>
      </w:r>
      <w:r w:rsidR="005D0B49" w:rsidRPr="00191D29">
        <w:t>8</w:t>
      </w:r>
      <w:r w:rsidR="00037DBF" w:rsidRPr="00191D29">
        <w:tab/>
      </w:r>
      <w:r w:rsidR="00064F23" w:rsidRPr="00191D29">
        <w:t xml:space="preserve">Because the ZESF system would be automated, the </w:t>
      </w:r>
      <w:r w:rsidR="00B43678" w:rsidRPr="00191D29">
        <w:t>administrative</w:t>
      </w:r>
      <w:r w:rsidR="004F4A86" w:rsidRPr="00191D29">
        <w:t xml:space="preserve"> burden on the Secretariat would be relatively smal</w:t>
      </w:r>
      <w:r w:rsidR="00203D1D" w:rsidRPr="00191D29">
        <w:t>l, and the costs of operating the</w:t>
      </w:r>
      <w:r w:rsidR="00002F1B" w:rsidRPr="00191D29">
        <w:t xml:space="preserve"> system </w:t>
      </w:r>
      <w:r w:rsidR="00114B17" w:rsidRPr="00191D29">
        <w:t>w</w:t>
      </w:r>
      <w:r w:rsidR="00002F1B" w:rsidRPr="00191D29">
        <w:t xml:space="preserve">ould be recovered from </w:t>
      </w:r>
      <w:r w:rsidR="00114B17" w:rsidRPr="00191D29">
        <w:t xml:space="preserve">the ZESF. </w:t>
      </w:r>
      <w:r w:rsidR="00363FF1" w:rsidRPr="00191D29">
        <w:t>Once operational</w:t>
      </w:r>
      <w:r w:rsidR="005E475E" w:rsidRPr="00191D29">
        <w:t>,</w:t>
      </w:r>
      <w:r w:rsidR="00363FF1" w:rsidRPr="00191D29">
        <w:t xml:space="preserve"> n</w:t>
      </w:r>
      <w:r w:rsidR="000A2429" w:rsidRPr="00191D29">
        <w:t>o “policy” decision</w:t>
      </w:r>
      <w:r w:rsidR="00587EB5" w:rsidRPr="00191D29">
        <w:t xml:space="preserve">s </w:t>
      </w:r>
      <w:r w:rsidR="0052534C" w:rsidRPr="00191D29">
        <w:t xml:space="preserve">by the Secretariat </w:t>
      </w:r>
      <w:r w:rsidR="00587EB5" w:rsidRPr="00191D29">
        <w:t xml:space="preserve">would be needed with respect to how </w:t>
      </w:r>
      <w:r w:rsidR="000A2429" w:rsidRPr="00191D29">
        <w:t>fund</w:t>
      </w:r>
      <w:r w:rsidR="00587EB5" w:rsidRPr="00191D29">
        <w:t xml:space="preserve">s </w:t>
      </w:r>
      <w:r w:rsidR="00363FF1" w:rsidRPr="00191D29">
        <w:t xml:space="preserve">that </w:t>
      </w:r>
      <w:r w:rsidR="00587EB5" w:rsidRPr="00191D29">
        <w:t>are collected</w:t>
      </w:r>
      <w:r w:rsidR="000A2429" w:rsidRPr="00191D29">
        <w:t xml:space="preserve"> should be used</w:t>
      </w:r>
      <w:r w:rsidR="00037DBF" w:rsidRPr="00191D29">
        <w:t>,</w:t>
      </w:r>
      <w:r w:rsidR="000A2429" w:rsidRPr="00191D29">
        <w:t xml:space="preserve"> as </w:t>
      </w:r>
      <w:r w:rsidR="00587EB5" w:rsidRPr="00191D29">
        <w:t xml:space="preserve">this </w:t>
      </w:r>
      <w:r w:rsidR="000A2429" w:rsidRPr="00191D29">
        <w:t xml:space="preserve">would be </w:t>
      </w:r>
      <w:r w:rsidR="00363FF1" w:rsidRPr="00191D29">
        <w:t xml:space="preserve">set </w:t>
      </w:r>
      <w:r w:rsidR="000A2429" w:rsidRPr="00191D29">
        <w:t>out clearly in the regulations</w:t>
      </w:r>
      <w:r w:rsidR="00FC595B" w:rsidRPr="00191D29">
        <w:t>.</w:t>
      </w:r>
    </w:p>
    <w:p w14:paraId="06DEBB6D" w14:textId="77777777" w:rsidR="005D4C42" w:rsidRPr="00191D29" w:rsidRDefault="005D4C42" w:rsidP="006B337E">
      <w:pPr>
        <w:tabs>
          <w:tab w:val="clear" w:pos="851"/>
        </w:tabs>
      </w:pPr>
    </w:p>
    <w:p w14:paraId="4C249CD4" w14:textId="5963DE33" w:rsidR="00F651FD" w:rsidRPr="00191D29" w:rsidRDefault="00F651FD" w:rsidP="006B337E">
      <w:pPr>
        <w:tabs>
          <w:tab w:val="clear" w:pos="851"/>
        </w:tabs>
        <w:rPr>
          <w:b/>
          <w:bCs/>
        </w:rPr>
      </w:pPr>
      <w:r w:rsidRPr="00191D29">
        <w:rPr>
          <w:b/>
          <w:bCs/>
        </w:rPr>
        <w:t>Cert</w:t>
      </w:r>
      <w:r w:rsidR="001F1EEF" w:rsidRPr="00191D29">
        <w:rPr>
          <w:b/>
          <w:bCs/>
        </w:rPr>
        <w:t xml:space="preserve">ainty about the </w:t>
      </w:r>
      <w:r w:rsidR="00D575AF" w:rsidRPr="00191D29">
        <w:rPr>
          <w:b/>
          <w:bCs/>
        </w:rPr>
        <w:t xml:space="preserve">contribution quantum </w:t>
      </w:r>
      <w:r w:rsidR="00686A7E" w:rsidRPr="00191D29">
        <w:rPr>
          <w:b/>
          <w:bCs/>
        </w:rPr>
        <w:t xml:space="preserve">and </w:t>
      </w:r>
      <w:r w:rsidR="00D575AF" w:rsidRPr="00191D29">
        <w:rPr>
          <w:b/>
          <w:bCs/>
        </w:rPr>
        <w:t>the amount of funds that will be generated</w:t>
      </w:r>
    </w:p>
    <w:p w14:paraId="1979FD05" w14:textId="77777777" w:rsidR="00F651FD" w:rsidRPr="00191D29" w:rsidRDefault="00F651FD" w:rsidP="006B337E">
      <w:pPr>
        <w:tabs>
          <w:tab w:val="clear" w:pos="851"/>
        </w:tabs>
      </w:pPr>
    </w:p>
    <w:p w14:paraId="40187D67" w14:textId="0AA26B0E" w:rsidR="00AE2DC7" w:rsidRPr="00191D29" w:rsidRDefault="005D0B49" w:rsidP="006B337E">
      <w:pPr>
        <w:tabs>
          <w:tab w:val="clear" w:pos="851"/>
        </w:tabs>
      </w:pPr>
      <w:r w:rsidRPr="00191D29">
        <w:t>49</w:t>
      </w:r>
      <w:r w:rsidR="0031013D" w:rsidRPr="00191D29">
        <w:tab/>
      </w:r>
      <w:r w:rsidR="00C56CC3" w:rsidRPr="00191D29">
        <w:t>A</w:t>
      </w:r>
      <w:r w:rsidR="00C20ABD" w:rsidRPr="00191D29">
        <w:t>nother</w:t>
      </w:r>
      <w:r w:rsidR="00C56CC3" w:rsidRPr="00191D29">
        <w:t xml:space="preserve"> significant advantage of the </w:t>
      </w:r>
      <w:r w:rsidR="00D575AF" w:rsidRPr="00191D29">
        <w:t xml:space="preserve">Fund and Reward </w:t>
      </w:r>
      <w:r w:rsidR="00A84AB5" w:rsidRPr="00191D29">
        <w:t xml:space="preserve">(Feebate) </w:t>
      </w:r>
      <w:r w:rsidR="000E74DE" w:rsidRPr="00191D29">
        <w:t>mechanism</w:t>
      </w:r>
      <w:r w:rsidR="00C56CC3" w:rsidRPr="00191D29">
        <w:t xml:space="preserve"> is that once the quantum of the flat rate contribution is agreed there would be relative certainty as to the total amount of funds (billions of dollars per year) that would be generated annually for the </w:t>
      </w:r>
      <w:r w:rsidR="00056CD2" w:rsidRPr="00191D29">
        <w:t>Zero Emission Shipping Fund</w:t>
      </w:r>
      <w:r w:rsidR="00C56CC3" w:rsidRPr="00191D29">
        <w:t xml:space="preserve"> to increase the global availability of </w:t>
      </w:r>
      <w:r w:rsidR="00056CD2" w:rsidRPr="00191D29">
        <w:t>zero</w:t>
      </w:r>
      <w:r w:rsidR="003950AA" w:rsidRPr="00191D29">
        <w:t xml:space="preserve">/near-zero GHG </w:t>
      </w:r>
      <w:r w:rsidR="00C56CC3" w:rsidRPr="00191D29">
        <w:t>fuels</w:t>
      </w:r>
      <w:r w:rsidR="00470CC7" w:rsidRPr="00191D29">
        <w:t xml:space="preserve">. </w:t>
      </w:r>
    </w:p>
    <w:p w14:paraId="4F26FD22" w14:textId="77777777" w:rsidR="00AE2DC7" w:rsidRPr="00191D29" w:rsidRDefault="00AE2DC7" w:rsidP="006B337E">
      <w:pPr>
        <w:tabs>
          <w:tab w:val="clear" w:pos="851"/>
        </w:tabs>
      </w:pPr>
    </w:p>
    <w:p w14:paraId="2C19B038" w14:textId="076F13FC" w:rsidR="00A27CA5" w:rsidRPr="00191D29" w:rsidRDefault="005D0B49" w:rsidP="006B337E">
      <w:pPr>
        <w:tabs>
          <w:tab w:val="clear" w:pos="851"/>
        </w:tabs>
      </w:pPr>
      <w:r w:rsidRPr="00191D29">
        <w:t>50</w:t>
      </w:r>
      <w:r w:rsidR="00AE2DC7" w:rsidRPr="00191D29">
        <w:tab/>
      </w:r>
      <w:r w:rsidR="00C56CC3" w:rsidRPr="00191D29">
        <w:t>By helping to narrow the significant cost gap between</w:t>
      </w:r>
      <w:r w:rsidR="001A10B3" w:rsidRPr="00191D29">
        <w:t xml:space="preserve"> zero/near-zero GHG fuels </w:t>
      </w:r>
      <w:r w:rsidR="00C56CC3" w:rsidRPr="00191D29">
        <w:t>and conventional fuels, this will give a strong signal to energy producers and fuel suppliers that should serve to increase the availability of these alternative fuels for shipping</w:t>
      </w:r>
      <w:r w:rsidR="00392CF3" w:rsidRPr="00191D29">
        <w:t xml:space="preserve"> and also</w:t>
      </w:r>
      <w:r w:rsidR="00C56CC3" w:rsidRPr="00191D29">
        <w:t>,</w:t>
      </w:r>
      <w:r w:rsidR="00392CF3" w:rsidRPr="00191D29">
        <w:t xml:space="preserve"> importantly,</w:t>
      </w:r>
      <w:r w:rsidR="00C56CC3" w:rsidRPr="00191D29">
        <w:t xml:space="preserve"> </w:t>
      </w:r>
      <w:r w:rsidR="00AD32DE" w:rsidRPr="00191D29">
        <w:t xml:space="preserve">to </w:t>
      </w:r>
      <w:r w:rsidR="00C56CC3" w:rsidRPr="00191D29">
        <w:t xml:space="preserve">de-risk the investment in the production </w:t>
      </w:r>
      <w:r w:rsidR="001072C6" w:rsidRPr="00191D29">
        <w:t xml:space="preserve">and uptake </w:t>
      </w:r>
      <w:r w:rsidR="00C56CC3" w:rsidRPr="00191D29">
        <w:t xml:space="preserve">of these </w:t>
      </w:r>
      <w:r w:rsidR="00C3529A" w:rsidRPr="00191D29">
        <w:t xml:space="preserve">zero/near-zero GHG </w:t>
      </w:r>
      <w:r w:rsidR="00C56CC3" w:rsidRPr="00191D29">
        <w:t>fuels</w:t>
      </w:r>
      <w:r w:rsidR="00387C3A">
        <w:t xml:space="preserve"> and technologies.</w:t>
      </w:r>
    </w:p>
    <w:p w14:paraId="60FCA9B1" w14:textId="77777777" w:rsidR="00C3529A" w:rsidRPr="00191D29" w:rsidRDefault="00C3529A" w:rsidP="006B337E">
      <w:pPr>
        <w:tabs>
          <w:tab w:val="clear" w:pos="851"/>
        </w:tabs>
      </w:pPr>
    </w:p>
    <w:p w14:paraId="1816189F" w14:textId="6B70F99A" w:rsidR="00C3529A" w:rsidRPr="00191D29" w:rsidRDefault="005D0B49" w:rsidP="006B337E">
      <w:pPr>
        <w:tabs>
          <w:tab w:val="clear" w:pos="851"/>
        </w:tabs>
      </w:pPr>
      <w:r w:rsidRPr="00191D29">
        <w:t>51</w:t>
      </w:r>
      <w:r w:rsidR="00AE2DC7" w:rsidRPr="00191D29">
        <w:tab/>
      </w:r>
      <w:r w:rsidR="0066408A" w:rsidRPr="00191D29">
        <w:t xml:space="preserve">As </w:t>
      </w:r>
      <w:r w:rsidR="00392CF3" w:rsidRPr="00191D29">
        <w:t xml:space="preserve">currently drafted, </w:t>
      </w:r>
      <w:r w:rsidR="002A760F" w:rsidRPr="00191D29">
        <w:t>in annex 1 of th</w:t>
      </w:r>
      <w:r w:rsidR="00603165" w:rsidRPr="00191D29">
        <w:t>is</w:t>
      </w:r>
      <w:r w:rsidR="002A760F" w:rsidRPr="00191D29">
        <w:t xml:space="preserve"> document, </w:t>
      </w:r>
      <w:r w:rsidR="0066408A" w:rsidRPr="00191D29">
        <w:t xml:space="preserve">the quantum of the contribution would be fixed for </w:t>
      </w:r>
      <w:r w:rsidR="002A2458" w:rsidRPr="00191D29">
        <w:t>a five</w:t>
      </w:r>
      <w:r w:rsidR="0066408A" w:rsidRPr="00191D29">
        <w:t xml:space="preserve"> year period</w:t>
      </w:r>
      <w:r w:rsidR="00B67F8D" w:rsidRPr="00191D29">
        <w:t>, rather</w:t>
      </w:r>
      <w:r w:rsidR="00201C5F" w:rsidRPr="00191D29">
        <w:t xml:space="preserve"> than</w:t>
      </w:r>
      <w:r w:rsidR="006A68BF" w:rsidRPr="00191D29">
        <w:t xml:space="preserve"> </w:t>
      </w:r>
      <w:r w:rsidR="00201C5F" w:rsidRPr="00191D29">
        <w:t xml:space="preserve">the cost of emissions being </w:t>
      </w:r>
      <w:r w:rsidR="00D474F2" w:rsidRPr="00191D29">
        <w:t>variable</w:t>
      </w:r>
      <w:r w:rsidR="0059237D" w:rsidRPr="00191D29">
        <w:t xml:space="preserve"> </w:t>
      </w:r>
      <w:r w:rsidR="00D474F2" w:rsidRPr="00191D29">
        <w:t>and volatile</w:t>
      </w:r>
      <w:r w:rsidR="00B54200" w:rsidRPr="00191D29">
        <w:t xml:space="preserve"> </w:t>
      </w:r>
      <w:r w:rsidR="00E42C59" w:rsidRPr="00191D29">
        <w:t xml:space="preserve">or linked to factors beyond the </w:t>
      </w:r>
      <w:r w:rsidR="00CE7CA4" w:rsidRPr="00191D29">
        <w:t>control of ships</w:t>
      </w:r>
      <w:r w:rsidR="00951BD7" w:rsidRPr="00191D29">
        <w:t xml:space="preserve"> </w:t>
      </w:r>
      <w:r w:rsidR="00CE7CA4" w:rsidRPr="00191D29">
        <w:t xml:space="preserve">such as </w:t>
      </w:r>
      <w:r w:rsidR="004011B8" w:rsidRPr="00191D29">
        <w:t xml:space="preserve">the availability of </w:t>
      </w:r>
      <w:r w:rsidR="00CE7CA4" w:rsidRPr="00191D29">
        <w:t>fuels with a lower GHG intensity</w:t>
      </w:r>
      <w:r w:rsidR="004720C4" w:rsidRPr="00191D29">
        <w:t xml:space="preserve"> (</w:t>
      </w:r>
      <w:r w:rsidR="00ED5A93" w:rsidRPr="00191D29">
        <w:t xml:space="preserve">as would be </w:t>
      </w:r>
      <w:r w:rsidR="00E91027" w:rsidRPr="00191D29">
        <w:t xml:space="preserve">the </w:t>
      </w:r>
      <w:r w:rsidR="00ED5A93" w:rsidRPr="00191D29">
        <w:t xml:space="preserve">case with alternative proposals for a </w:t>
      </w:r>
      <w:r w:rsidR="004D578A" w:rsidRPr="00191D29">
        <w:t xml:space="preserve">maritime </w:t>
      </w:r>
      <w:r w:rsidR="00ED5A93" w:rsidRPr="00191D29">
        <w:t xml:space="preserve">GHG </w:t>
      </w:r>
      <w:r w:rsidR="0052534C" w:rsidRPr="00191D29">
        <w:t xml:space="preserve">emissions </w:t>
      </w:r>
      <w:r w:rsidR="00ED5A93" w:rsidRPr="00191D29">
        <w:t>pricing mechanism made during Phase II of the Work plan</w:t>
      </w:r>
      <w:r w:rsidR="004720C4" w:rsidRPr="00191D29">
        <w:t>)</w:t>
      </w:r>
      <w:r w:rsidR="00ED5A93" w:rsidRPr="00191D29">
        <w:t xml:space="preserve"> </w:t>
      </w:r>
      <w:r w:rsidR="00392CF3" w:rsidRPr="00191D29">
        <w:t xml:space="preserve">and </w:t>
      </w:r>
      <w:r w:rsidR="00F72AFF" w:rsidRPr="00191D29">
        <w:t>the</w:t>
      </w:r>
      <w:r w:rsidR="00AE2B18" w:rsidRPr="00191D29">
        <w:t xml:space="preserve"> economic impacts on States should be </w:t>
      </w:r>
      <w:r w:rsidR="005322A7" w:rsidRPr="00191D29">
        <w:t xml:space="preserve">much </w:t>
      </w:r>
      <w:r w:rsidR="002B419C" w:rsidRPr="00191D29">
        <w:t>eas</w:t>
      </w:r>
      <w:r w:rsidR="00ED5A93" w:rsidRPr="00191D29">
        <w:t>ier</w:t>
      </w:r>
      <w:r w:rsidR="002B419C" w:rsidRPr="00191D29">
        <w:t xml:space="preserve"> for the </w:t>
      </w:r>
      <w:r w:rsidR="00C8602A" w:rsidRPr="00191D29">
        <w:t xml:space="preserve">final </w:t>
      </w:r>
      <w:r w:rsidR="002B419C" w:rsidRPr="00191D29">
        <w:t xml:space="preserve">CIA </w:t>
      </w:r>
      <w:r w:rsidR="00C8602A" w:rsidRPr="00191D29">
        <w:t xml:space="preserve">of the measure </w:t>
      </w:r>
      <w:r w:rsidR="002B419C" w:rsidRPr="00191D29">
        <w:t>to determine.</w:t>
      </w:r>
      <w:r w:rsidR="00AE2B18" w:rsidRPr="00191D29">
        <w:t xml:space="preserve"> </w:t>
      </w:r>
    </w:p>
    <w:p w14:paraId="72BFF299" w14:textId="77777777" w:rsidR="005322A7" w:rsidRPr="00191D29" w:rsidRDefault="005322A7" w:rsidP="006B337E">
      <w:pPr>
        <w:tabs>
          <w:tab w:val="clear" w:pos="851"/>
        </w:tabs>
        <w:rPr>
          <w:b/>
          <w:bCs/>
        </w:rPr>
      </w:pPr>
    </w:p>
    <w:p w14:paraId="0ED2CC19" w14:textId="44FE81A2" w:rsidR="009655E8" w:rsidRPr="00191D29" w:rsidRDefault="007B25C4" w:rsidP="000A6875">
      <w:pPr>
        <w:keepNext/>
        <w:keepLines/>
        <w:tabs>
          <w:tab w:val="clear" w:pos="851"/>
        </w:tabs>
        <w:rPr>
          <w:b/>
          <w:bCs/>
        </w:rPr>
      </w:pPr>
      <w:r w:rsidRPr="00191D29">
        <w:rPr>
          <w:b/>
          <w:bCs/>
        </w:rPr>
        <w:lastRenderedPageBreak/>
        <w:t xml:space="preserve">KEY </w:t>
      </w:r>
      <w:r w:rsidR="002214DA" w:rsidRPr="00191D29">
        <w:rPr>
          <w:b/>
          <w:bCs/>
        </w:rPr>
        <w:t xml:space="preserve">NEW ASPECTS OF MODIFIED PROPOSAL </w:t>
      </w:r>
    </w:p>
    <w:p w14:paraId="19D33B14" w14:textId="77777777" w:rsidR="007B25C4" w:rsidRPr="00191D29" w:rsidRDefault="007B25C4" w:rsidP="000A6875">
      <w:pPr>
        <w:keepNext/>
        <w:keepLines/>
        <w:tabs>
          <w:tab w:val="clear" w:pos="851"/>
        </w:tabs>
        <w:rPr>
          <w:b/>
          <w:bCs/>
        </w:rPr>
      </w:pPr>
    </w:p>
    <w:p w14:paraId="4C30F723" w14:textId="01B9133D" w:rsidR="007C7ABE" w:rsidRPr="00191D29" w:rsidRDefault="007C7ABE" w:rsidP="000A6875">
      <w:pPr>
        <w:keepNext/>
        <w:keepLines/>
        <w:tabs>
          <w:tab w:val="clear" w:pos="851"/>
        </w:tabs>
        <w:rPr>
          <w:b/>
          <w:bCs/>
        </w:rPr>
      </w:pPr>
      <w:r w:rsidRPr="00191D29">
        <w:rPr>
          <w:b/>
          <w:bCs/>
        </w:rPr>
        <w:t xml:space="preserve">Zero </w:t>
      </w:r>
      <w:r w:rsidR="009E5632" w:rsidRPr="00191D29">
        <w:rPr>
          <w:b/>
          <w:bCs/>
        </w:rPr>
        <w:t xml:space="preserve">Emission </w:t>
      </w:r>
      <w:r w:rsidRPr="00191D29">
        <w:rPr>
          <w:b/>
          <w:bCs/>
        </w:rPr>
        <w:t>Sh</w:t>
      </w:r>
      <w:r w:rsidR="009E5632" w:rsidRPr="00191D29">
        <w:rPr>
          <w:b/>
          <w:bCs/>
        </w:rPr>
        <w:t xml:space="preserve">ipping </w:t>
      </w:r>
      <w:r w:rsidRPr="00191D29">
        <w:rPr>
          <w:b/>
          <w:bCs/>
        </w:rPr>
        <w:t>Fund (ZESF)</w:t>
      </w:r>
    </w:p>
    <w:p w14:paraId="656A681A" w14:textId="77777777" w:rsidR="007C7ABE" w:rsidRPr="00191D29" w:rsidRDefault="007C7ABE" w:rsidP="000A6875">
      <w:pPr>
        <w:keepNext/>
        <w:keepLines/>
        <w:tabs>
          <w:tab w:val="clear" w:pos="851"/>
        </w:tabs>
        <w:rPr>
          <w:b/>
          <w:bCs/>
        </w:rPr>
      </w:pPr>
    </w:p>
    <w:p w14:paraId="06D18BC2" w14:textId="0874728B" w:rsidR="009E5632" w:rsidRPr="00191D29" w:rsidRDefault="005D0B49" w:rsidP="000A6875">
      <w:pPr>
        <w:keepNext/>
        <w:keepLines/>
        <w:tabs>
          <w:tab w:val="clear" w:pos="851"/>
        </w:tabs>
      </w:pPr>
      <w:r w:rsidRPr="00191D29">
        <w:t>52</w:t>
      </w:r>
      <w:r w:rsidR="009E5632" w:rsidRPr="00191D29">
        <w:tab/>
      </w:r>
      <w:r w:rsidR="007C7ABE" w:rsidRPr="00191D29">
        <w:t xml:space="preserve">The </w:t>
      </w:r>
      <w:r w:rsidR="00ED0FC5" w:rsidRPr="00191D29">
        <w:t>f</w:t>
      </w:r>
      <w:r w:rsidR="007C7ABE" w:rsidRPr="00191D29">
        <w:t>und to</w:t>
      </w:r>
      <w:r w:rsidR="00ED0FC5" w:rsidRPr="00191D29">
        <w:t xml:space="preserve"> which contributions by ship</w:t>
      </w:r>
      <w:r w:rsidR="003B51C1" w:rsidRPr="00191D29">
        <w:t>s</w:t>
      </w:r>
      <w:r w:rsidR="00ED0FC5" w:rsidRPr="00191D29">
        <w:t xml:space="preserve"> </w:t>
      </w:r>
      <w:r w:rsidR="00915682" w:rsidRPr="00191D29">
        <w:t xml:space="preserve">will be made </w:t>
      </w:r>
      <w:r w:rsidR="008C4478" w:rsidRPr="00191D29">
        <w:t xml:space="preserve">by </w:t>
      </w:r>
      <w:r w:rsidR="00915682" w:rsidRPr="00191D29">
        <w:t>per tonne of CO</w:t>
      </w:r>
      <w:r w:rsidR="00915682" w:rsidRPr="00191D29">
        <w:rPr>
          <w:vertAlign w:val="subscript"/>
        </w:rPr>
        <w:t>2</w:t>
      </w:r>
      <w:r w:rsidR="00915682" w:rsidRPr="00191D29">
        <w:t xml:space="preserve">e emitted </w:t>
      </w:r>
      <w:r w:rsidR="009E5632" w:rsidRPr="00191D29">
        <w:t>is now called the Zero Emission Shipping Fund (ZESF)</w:t>
      </w:r>
      <w:r w:rsidR="008437CE" w:rsidRPr="00191D29">
        <w:t xml:space="preserve">. This </w:t>
      </w:r>
      <w:r w:rsidR="009E5632" w:rsidRPr="00191D29">
        <w:t>more accurately describes its purpose</w:t>
      </w:r>
      <w:r w:rsidR="008562FA" w:rsidRPr="00191D29">
        <w:t>, i.e. to support the decarboni</w:t>
      </w:r>
      <w:r w:rsidR="0023080D">
        <w:t>z</w:t>
      </w:r>
      <w:r w:rsidR="008562FA" w:rsidRPr="00191D29">
        <w:t>ation of intern</w:t>
      </w:r>
      <w:r w:rsidR="00AA6D19" w:rsidRPr="00191D29">
        <w:t xml:space="preserve">ational shipping as required by the 2023 IMO </w:t>
      </w:r>
      <w:r w:rsidR="00607A79" w:rsidRPr="00191D29">
        <w:t xml:space="preserve">GHG </w:t>
      </w:r>
      <w:r w:rsidR="00AA6D19" w:rsidRPr="00191D29">
        <w:t>Strategy</w:t>
      </w:r>
      <w:r w:rsidR="00412B76" w:rsidRPr="00191D29">
        <w:t xml:space="preserve">, using </w:t>
      </w:r>
      <w:r w:rsidR="00607A79" w:rsidRPr="00191D29">
        <w:t xml:space="preserve">contributions </w:t>
      </w:r>
      <w:r w:rsidR="00412B76" w:rsidRPr="00191D29">
        <w:t xml:space="preserve">collected </w:t>
      </w:r>
      <w:r w:rsidR="00055A63" w:rsidRPr="00191D29">
        <w:t xml:space="preserve">from the shipping industry via a </w:t>
      </w:r>
      <w:r w:rsidR="00392CF3" w:rsidRPr="00191D29">
        <w:t xml:space="preserve">maritime </w:t>
      </w:r>
      <w:r w:rsidR="00055A63" w:rsidRPr="00191D29">
        <w:t xml:space="preserve">GHG </w:t>
      </w:r>
      <w:r w:rsidR="00392CF3" w:rsidRPr="00191D29">
        <w:t xml:space="preserve">emissions </w:t>
      </w:r>
      <w:r w:rsidR="00055A63" w:rsidRPr="00191D29">
        <w:t>pricing mechanism which ha</w:t>
      </w:r>
      <w:r w:rsidR="00E85A81" w:rsidRPr="00191D29">
        <w:t>s</w:t>
      </w:r>
      <w:r w:rsidR="00055A63" w:rsidRPr="00191D29">
        <w:t xml:space="preserve"> been established </w:t>
      </w:r>
      <w:r w:rsidR="00395E9E" w:rsidRPr="00191D29">
        <w:t xml:space="preserve">specifically </w:t>
      </w:r>
      <w:r w:rsidR="00055A63" w:rsidRPr="00191D29">
        <w:t xml:space="preserve">for this </w:t>
      </w:r>
      <w:r w:rsidR="00E85A81" w:rsidRPr="00191D29">
        <w:t xml:space="preserve">sole </w:t>
      </w:r>
      <w:r w:rsidR="00055A63" w:rsidRPr="00191D29">
        <w:t>purpose</w:t>
      </w:r>
      <w:r w:rsidR="00E85A81" w:rsidRPr="00191D29">
        <w:t xml:space="preserve">. </w:t>
      </w:r>
    </w:p>
    <w:p w14:paraId="28EE5520" w14:textId="6A7243B4" w:rsidR="000B111F" w:rsidRPr="00191D29" w:rsidRDefault="00ED0FC5" w:rsidP="004412FE">
      <w:pPr>
        <w:tabs>
          <w:tab w:val="clear" w:pos="851"/>
        </w:tabs>
        <w:rPr>
          <w:b/>
          <w:bCs/>
        </w:rPr>
      </w:pPr>
      <w:r w:rsidRPr="00191D29">
        <w:t xml:space="preserve"> </w:t>
      </w:r>
      <w:r w:rsidR="007C7ABE" w:rsidRPr="00191D29">
        <w:t xml:space="preserve">  </w:t>
      </w:r>
    </w:p>
    <w:p w14:paraId="607A2336" w14:textId="5A44856B" w:rsidR="004412FE" w:rsidRPr="00191D29" w:rsidRDefault="004412FE" w:rsidP="00B962E4">
      <w:pPr>
        <w:keepNext/>
        <w:keepLines/>
        <w:tabs>
          <w:tab w:val="clear" w:pos="851"/>
        </w:tabs>
        <w:rPr>
          <w:b/>
          <w:bCs/>
        </w:rPr>
      </w:pPr>
      <w:r w:rsidRPr="00191D29">
        <w:rPr>
          <w:b/>
          <w:bCs/>
        </w:rPr>
        <w:t>Establishing a separate IMO fund (IMSF) to support developing countries</w:t>
      </w:r>
    </w:p>
    <w:p w14:paraId="48A5BEB6" w14:textId="77777777" w:rsidR="004412FE" w:rsidRPr="00191D29" w:rsidRDefault="004412FE" w:rsidP="00B962E4">
      <w:pPr>
        <w:keepNext/>
        <w:keepLines/>
        <w:tabs>
          <w:tab w:val="clear" w:pos="851"/>
        </w:tabs>
      </w:pPr>
    </w:p>
    <w:p w14:paraId="19921BC5" w14:textId="34C973DD" w:rsidR="004412FE" w:rsidRPr="00191D29" w:rsidRDefault="005D0B49" w:rsidP="00B962E4">
      <w:pPr>
        <w:keepNext/>
        <w:keepLines/>
        <w:tabs>
          <w:tab w:val="clear" w:pos="851"/>
        </w:tabs>
      </w:pPr>
      <w:r w:rsidRPr="00191D29">
        <w:t>53</w:t>
      </w:r>
      <w:r w:rsidR="004412FE" w:rsidRPr="00191D29">
        <w:tab/>
        <w:t>To make it clear that a significant proportion of funds from contributions by ship</w:t>
      </w:r>
      <w:r w:rsidR="00D9089A" w:rsidRPr="00191D29">
        <w:t>s to the ZESF</w:t>
      </w:r>
      <w:r w:rsidR="004412FE" w:rsidRPr="00191D29">
        <w:t xml:space="preserve"> should be used to support GHG reduction efforts by developing countries, especially LDCs and SID</w:t>
      </w:r>
      <w:r w:rsidR="00D8454F" w:rsidRPr="00191D29">
        <w:t>S</w:t>
      </w:r>
      <w:r w:rsidR="004412FE" w:rsidRPr="00191D29">
        <w:t xml:space="preserve">, it </w:t>
      </w:r>
      <w:r w:rsidR="00BB0F13" w:rsidRPr="00191D29">
        <w:t xml:space="preserve">is </w:t>
      </w:r>
      <w:r w:rsidR="004412FE" w:rsidRPr="00191D29">
        <w:t xml:space="preserve">proposed that </w:t>
      </w:r>
      <w:r w:rsidR="009D0BFF" w:rsidRPr="00191D29">
        <w:t xml:space="preserve">a </w:t>
      </w:r>
      <w:r w:rsidR="004412FE" w:rsidRPr="00191D29">
        <w:t xml:space="preserve">separate IMO (GHG) </w:t>
      </w:r>
      <w:r w:rsidR="009F016C" w:rsidRPr="00191D29">
        <w:t xml:space="preserve">Maritime </w:t>
      </w:r>
      <w:r w:rsidR="004412FE" w:rsidRPr="00191D29">
        <w:t>Sustainability Fund</w:t>
      </w:r>
      <w:r w:rsidR="00B31BD1" w:rsidRPr="00191D29">
        <w:t xml:space="preserve"> (IMSF)</w:t>
      </w:r>
      <w:r w:rsidR="004412FE" w:rsidRPr="00191D29">
        <w:t xml:space="preserve"> should be established </w:t>
      </w:r>
      <w:r w:rsidR="00527F72" w:rsidRPr="00191D29">
        <w:t xml:space="preserve">using </w:t>
      </w:r>
      <w:r w:rsidR="004412FE" w:rsidRPr="00191D29">
        <w:t xml:space="preserve">funds from the ZESF, with priorities with respect to projects and programmes to be supported by the IMSF to be determined </w:t>
      </w:r>
      <w:r w:rsidR="00527F72" w:rsidRPr="00191D29">
        <w:t xml:space="preserve">by </w:t>
      </w:r>
      <w:r w:rsidR="004412FE" w:rsidRPr="00191D29">
        <w:t xml:space="preserve">a </w:t>
      </w:r>
      <w:r w:rsidR="0051669C" w:rsidRPr="00191D29">
        <w:t>“</w:t>
      </w:r>
      <w:r w:rsidR="004412FE" w:rsidRPr="00191D29">
        <w:t>supervisory committee</w:t>
      </w:r>
      <w:r w:rsidR="0051669C" w:rsidRPr="00191D29">
        <w:t>”</w:t>
      </w:r>
      <w:r w:rsidR="004412FE" w:rsidRPr="00191D29">
        <w:t xml:space="preserve"> comprising representatives of Parties to the regulations implementing the </w:t>
      </w:r>
      <w:r w:rsidR="000C1536">
        <w:t xml:space="preserve">maritime </w:t>
      </w:r>
      <w:r w:rsidR="004412FE" w:rsidRPr="00191D29">
        <w:t xml:space="preserve">GHG </w:t>
      </w:r>
      <w:r w:rsidR="000C1536">
        <w:t xml:space="preserve">emissions </w:t>
      </w:r>
      <w:r w:rsidR="004412FE" w:rsidRPr="00191D29">
        <w:t xml:space="preserve">pricing mechanism. </w:t>
      </w:r>
    </w:p>
    <w:p w14:paraId="15400B44" w14:textId="77777777" w:rsidR="004412FE" w:rsidRPr="00191D29" w:rsidRDefault="004412FE" w:rsidP="004412FE">
      <w:pPr>
        <w:tabs>
          <w:tab w:val="clear" w:pos="851"/>
        </w:tabs>
      </w:pPr>
    </w:p>
    <w:p w14:paraId="10B5B984" w14:textId="77FB5544" w:rsidR="00EB4CCC" w:rsidRPr="00191D29" w:rsidRDefault="005D0B49" w:rsidP="004412FE">
      <w:pPr>
        <w:tabs>
          <w:tab w:val="clear" w:pos="851"/>
        </w:tabs>
      </w:pPr>
      <w:r w:rsidRPr="00191D29">
        <w:t>54</w:t>
      </w:r>
      <w:r w:rsidR="004412FE" w:rsidRPr="00191D29">
        <w:tab/>
        <w:t xml:space="preserve">As the priority will be to establish the contribution and reward mechanism of the ZESF, without which funds will </w:t>
      </w:r>
      <w:r w:rsidR="008735BC" w:rsidRPr="00191D29">
        <w:t xml:space="preserve">not </w:t>
      </w:r>
      <w:r w:rsidR="004412FE" w:rsidRPr="00191D29">
        <w:t xml:space="preserve">be available for the support of developing countries, it is suggested that </w:t>
      </w:r>
      <w:r w:rsidR="00C2526E" w:rsidRPr="00191D29">
        <w:t xml:space="preserve">terms of reference for </w:t>
      </w:r>
      <w:r w:rsidR="004412FE" w:rsidRPr="00191D29">
        <w:t xml:space="preserve">the governance </w:t>
      </w:r>
      <w:r w:rsidR="00D179D9" w:rsidRPr="00191D29">
        <w:t xml:space="preserve">and operation </w:t>
      </w:r>
      <w:r w:rsidR="004412FE" w:rsidRPr="00191D29">
        <w:t>of the</w:t>
      </w:r>
      <w:r w:rsidR="00D179D9" w:rsidRPr="00191D29">
        <w:t xml:space="preserve"> IMSF</w:t>
      </w:r>
      <w:r w:rsidR="004412FE" w:rsidRPr="00191D29">
        <w:t xml:space="preserve"> can be finalised </w:t>
      </w:r>
      <w:r w:rsidR="00647DCE" w:rsidRPr="00191D29">
        <w:t>following adoption of the ZESF and IMSF regulations</w:t>
      </w:r>
      <w:r w:rsidR="004412FE" w:rsidRPr="00191D29">
        <w:t xml:space="preserve">, although </w:t>
      </w:r>
      <w:r w:rsidR="00966674" w:rsidRPr="00191D29">
        <w:t xml:space="preserve">annex 3 of </w:t>
      </w:r>
      <w:r w:rsidR="004412FE" w:rsidRPr="00191D29">
        <w:t>document ISWG-GHG 14/3</w:t>
      </w:r>
      <w:r w:rsidR="00966674" w:rsidRPr="00191D29">
        <w:t xml:space="preserve"> </w:t>
      </w:r>
      <w:r w:rsidR="001835D8" w:rsidRPr="00191D29">
        <w:t xml:space="preserve">(ICS) </w:t>
      </w:r>
      <w:r w:rsidR="004412FE" w:rsidRPr="00191D29">
        <w:t>set</w:t>
      </w:r>
      <w:r w:rsidR="00966674" w:rsidRPr="00191D29">
        <w:t>s</w:t>
      </w:r>
      <w:r w:rsidR="004412FE" w:rsidRPr="00191D29">
        <w:t xml:space="preserve"> out details of potential terms of reference to the IMSF</w:t>
      </w:r>
      <w:r w:rsidR="007D6B72" w:rsidRPr="00191D29">
        <w:t xml:space="preserve"> (</w:t>
      </w:r>
      <w:r w:rsidR="007A47EE" w:rsidRPr="00191D29">
        <w:t>previously called the IMSB</w:t>
      </w:r>
      <w:r w:rsidR="00966674" w:rsidRPr="00191D29">
        <w:t xml:space="preserve"> Charter</w:t>
      </w:r>
      <w:r w:rsidR="007A47EE" w:rsidRPr="00191D29">
        <w:t xml:space="preserve">) </w:t>
      </w:r>
      <w:r w:rsidR="004412FE" w:rsidRPr="00191D29">
        <w:t xml:space="preserve">which </w:t>
      </w:r>
      <w:r w:rsidR="00474F3E">
        <w:t>the co-sponsors</w:t>
      </w:r>
      <w:r w:rsidR="004412FE" w:rsidRPr="00191D29">
        <w:t xml:space="preserve"> intend to refine for submission to </w:t>
      </w:r>
      <w:r w:rsidR="0006565C" w:rsidRPr="00191D29">
        <w:t xml:space="preserve">a </w:t>
      </w:r>
      <w:r w:rsidR="004412FE" w:rsidRPr="00191D29">
        <w:t>future session.</w:t>
      </w:r>
    </w:p>
    <w:p w14:paraId="173E5FD6" w14:textId="77777777" w:rsidR="00EB4CCC" w:rsidRPr="00191D29" w:rsidRDefault="00EB4CCC" w:rsidP="004412FE">
      <w:pPr>
        <w:tabs>
          <w:tab w:val="clear" w:pos="851"/>
        </w:tabs>
      </w:pPr>
    </w:p>
    <w:p w14:paraId="0E3BCA8C" w14:textId="4F8174F0" w:rsidR="001C3CFD" w:rsidRPr="00191D29" w:rsidRDefault="005D0B49" w:rsidP="00665181">
      <w:r w:rsidRPr="00191D29">
        <w:t>55</w:t>
      </w:r>
      <w:r w:rsidR="00FE4326" w:rsidRPr="00191D29">
        <w:tab/>
      </w:r>
      <w:r w:rsidR="004B6E20" w:rsidRPr="00191D29">
        <w:t xml:space="preserve">Taking account of recent discussion </w:t>
      </w:r>
      <w:r w:rsidR="00365347" w:rsidRPr="00191D29">
        <w:t>within</w:t>
      </w:r>
      <w:r w:rsidR="004B6E20" w:rsidRPr="00191D29">
        <w:t xml:space="preserve"> the Group </w:t>
      </w:r>
      <w:r w:rsidR="00365347" w:rsidRPr="00191D29">
        <w:t>and the Committee, it is al</w:t>
      </w:r>
      <w:r w:rsidR="00E336EA" w:rsidRPr="00191D29">
        <w:t>so</w:t>
      </w:r>
      <w:r w:rsidR="00665181" w:rsidRPr="00191D29">
        <w:t xml:space="preserve"> </w:t>
      </w:r>
      <w:r w:rsidR="00E336EA" w:rsidRPr="00191D29">
        <w:t>suggest</w:t>
      </w:r>
      <w:r w:rsidR="00DE2CCC" w:rsidRPr="00191D29">
        <w:t>ed</w:t>
      </w:r>
      <w:r w:rsidR="00E336EA" w:rsidRPr="00191D29">
        <w:t xml:space="preserve"> that </w:t>
      </w:r>
      <w:r w:rsidR="00DE2CCC" w:rsidRPr="00191D29">
        <w:t>one of the purposes of the IMSF</w:t>
      </w:r>
      <w:r w:rsidR="007559D3" w:rsidRPr="00191D29">
        <w:t xml:space="preserve"> (</w:t>
      </w:r>
      <w:r w:rsidR="00376B9F" w:rsidRPr="00191D29">
        <w:t xml:space="preserve">in addition, </w:t>
      </w:r>
      <w:r w:rsidR="00376B9F" w:rsidRPr="00BC1869">
        <w:t>inter alia</w:t>
      </w:r>
      <w:r w:rsidR="00376B9F" w:rsidRPr="00191D29">
        <w:t>, to</w:t>
      </w:r>
      <w:r w:rsidR="00F976E2" w:rsidRPr="00191D29">
        <w:t xml:space="preserve"> </w:t>
      </w:r>
      <w:r w:rsidR="007559D3" w:rsidRPr="00191D29">
        <w:t xml:space="preserve">supporting </w:t>
      </w:r>
      <w:r w:rsidR="00F976E2" w:rsidRPr="00191D29">
        <w:t>deployment of zero or near-zero GHG maritime fuel production facilities and new bunkering infrastructure</w:t>
      </w:r>
      <w:r w:rsidR="007559D3" w:rsidRPr="00191D29">
        <w:t>)</w:t>
      </w:r>
      <w:r w:rsidR="00BC7BD1" w:rsidRPr="00191D29">
        <w:t xml:space="preserve"> should be </w:t>
      </w:r>
      <w:r w:rsidR="001C3CFD" w:rsidRPr="00191D29">
        <w:rPr>
          <w:rFonts w:cs="Arial"/>
          <w:szCs w:val="22"/>
        </w:rPr>
        <w:t>funding for seafarer training in developing countries and promotion of a just transition</w:t>
      </w:r>
      <w:r w:rsidR="00BC7BD1" w:rsidRPr="00191D29">
        <w:rPr>
          <w:rFonts w:cs="Arial"/>
          <w:szCs w:val="22"/>
        </w:rPr>
        <w:t>.</w:t>
      </w:r>
    </w:p>
    <w:p w14:paraId="54FCFA1B" w14:textId="119F4F4B" w:rsidR="004412FE" w:rsidRPr="00191D29" w:rsidRDefault="004412FE" w:rsidP="004412FE">
      <w:pPr>
        <w:tabs>
          <w:tab w:val="clear" w:pos="851"/>
        </w:tabs>
      </w:pPr>
    </w:p>
    <w:p w14:paraId="04D0D3D6" w14:textId="68B277D2" w:rsidR="00425F12" w:rsidRPr="00191D29" w:rsidRDefault="00425F12" w:rsidP="006B337E">
      <w:pPr>
        <w:tabs>
          <w:tab w:val="clear" w:pos="851"/>
        </w:tabs>
        <w:rPr>
          <w:b/>
          <w:bCs/>
        </w:rPr>
      </w:pPr>
      <w:r w:rsidRPr="00191D29">
        <w:rPr>
          <w:b/>
          <w:bCs/>
        </w:rPr>
        <w:t xml:space="preserve">Contribution quantum </w:t>
      </w:r>
      <w:r w:rsidR="004412FE" w:rsidRPr="00191D29">
        <w:rPr>
          <w:b/>
          <w:bCs/>
        </w:rPr>
        <w:t>and reward rate</w:t>
      </w:r>
    </w:p>
    <w:p w14:paraId="197448EC" w14:textId="77777777" w:rsidR="00AF4284" w:rsidRPr="00191D29" w:rsidRDefault="00AF4284" w:rsidP="006B337E">
      <w:pPr>
        <w:tabs>
          <w:tab w:val="clear" w:pos="851"/>
        </w:tabs>
        <w:rPr>
          <w:b/>
          <w:bCs/>
        </w:rPr>
      </w:pPr>
    </w:p>
    <w:p w14:paraId="03C32EC4" w14:textId="33617860" w:rsidR="008F3731" w:rsidRPr="00191D29" w:rsidRDefault="005D0B49" w:rsidP="006B337E">
      <w:pPr>
        <w:tabs>
          <w:tab w:val="clear" w:pos="851"/>
        </w:tabs>
      </w:pPr>
      <w:r w:rsidRPr="00191D29">
        <w:t>56</w:t>
      </w:r>
      <w:r w:rsidR="00B03283" w:rsidRPr="00191D29">
        <w:tab/>
        <w:t xml:space="preserve">For </w:t>
      </w:r>
      <w:r w:rsidR="002D03EE" w:rsidRPr="00191D29">
        <w:t xml:space="preserve">legal </w:t>
      </w:r>
      <w:r w:rsidR="00B03283" w:rsidRPr="00191D29">
        <w:t xml:space="preserve">clarity, it </w:t>
      </w:r>
      <w:r w:rsidR="007665EB" w:rsidRPr="00191D29">
        <w:t xml:space="preserve">is </w:t>
      </w:r>
      <w:r w:rsidR="00B03283" w:rsidRPr="00191D29">
        <w:t xml:space="preserve">now suggested that the quantum of the contribution by ships to the ZESF </w:t>
      </w:r>
      <w:r w:rsidR="00BA3C49" w:rsidRPr="00191D29">
        <w:t>per tonne of CO</w:t>
      </w:r>
      <w:r w:rsidR="00BA3C49" w:rsidRPr="00191D29">
        <w:rPr>
          <w:vertAlign w:val="subscript"/>
        </w:rPr>
        <w:t>2</w:t>
      </w:r>
      <w:r w:rsidR="00BA3C49" w:rsidRPr="00191D29">
        <w:t>e emitted, an</w:t>
      </w:r>
      <w:r w:rsidR="002D03EE" w:rsidRPr="00191D29">
        <w:t>d</w:t>
      </w:r>
      <w:r w:rsidR="00BA3C49" w:rsidRPr="00191D29">
        <w:t xml:space="preserve"> the reward rate per tonne of </w:t>
      </w:r>
      <w:r w:rsidR="001269B7" w:rsidRPr="00191D29">
        <w:t>CO</w:t>
      </w:r>
      <w:r w:rsidR="001269B7" w:rsidRPr="00191D29">
        <w:rPr>
          <w:vertAlign w:val="subscript"/>
        </w:rPr>
        <w:t>2</w:t>
      </w:r>
      <w:r w:rsidR="001269B7" w:rsidRPr="00191D29">
        <w:t xml:space="preserve">e emissions prevented by the use of </w:t>
      </w:r>
      <w:r w:rsidR="009A0662" w:rsidRPr="00191D29">
        <w:t xml:space="preserve">zero or </w:t>
      </w:r>
      <w:r w:rsidR="001269B7" w:rsidRPr="00191D29">
        <w:t>near</w:t>
      </w:r>
      <w:r w:rsidR="009A0662" w:rsidRPr="00191D29">
        <w:t>-zero</w:t>
      </w:r>
      <w:r w:rsidR="001269B7" w:rsidRPr="00191D29">
        <w:t xml:space="preserve"> </w:t>
      </w:r>
      <w:r w:rsidR="009A0662" w:rsidRPr="00191D29">
        <w:t>GHG fuels</w:t>
      </w:r>
      <w:r w:rsidR="0027069F">
        <w:t>,</w:t>
      </w:r>
      <w:r w:rsidR="002C6688">
        <w:t xml:space="preserve"> energy sources and </w:t>
      </w:r>
      <w:r w:rsidR="00711E1E">
        <w:t xml:space="preserve">technologies </w:t>
      </w:r>
      <w:r w:rsidR="00B03283" w:rsidRPr="00191D29">
        <w:t xml:space="preserve">should </w:t>
      </w:r>
      <w:r w:rsidR="002D03EE" w:rsidRPr="00191D29">
        <w:t xml:space="preserve">be </w:t>
      </w:r>
      <w:r w:rsidR="00D468CA" w:rsidRPr="00191D29">
        <w:t>st</w:t>
      </w:r>
      <w:r w:rsidR="00356217" w:rsidRPr="00191D29">
        <w:t>ipulated</w:t>
      </w:r>
      <w:r w:rsidR="00D468CA" w:rsidRPr="00191D29">
        <w:t xml:space="preserve"> in the regulations, rather th</w:t>
      </w:r>
      <w:r w:rsidR="009A0662" w:rsidRPr="00191D29">
        <w:t xml:space="preserve">an in Guidelines. </w:t>
      </w:r>
    </w:p>
    <w:p w14:paraId="0D3C17FD" w14:textId="77777777" w:rsidR="00541AF6" w:rsidRPr="00191D29" w:rsidRDefault="00541AF6" w:rsidP="006B337E">
      <w:pPr>
        <w:tabs>
          <w:tab w:val="clear" w:pos="851"/>
        </w:tabs>
      </w:pPr>
    </w:p>
    <w:p w14:paraId="1D6C3454" w14:textId="45A59B76" w:rsidR="0076269C" w:rsidRPr="00191D29" w:rsidRDefault="00E802DB" w:rsidP="006B337E">
      <w:pPr>
        <w:tabs>
          <w:tab w:val="clear" w:pos="851"/>
        </w:tabs>
      </w:pPr>
      <w:r w:rsidRPr="00191D29">
        <w:t>5</w:t>
      </w:r>
      <w:r w:rsidR="005D0B49" w:rsidRPr="00191D29">
        <w:t>7</w:t>
      </w:r>
      <w:r w:rsidR="00F5343D" w:rsidRPr="00191D29">
        <w:tab/>
      </w:r>
      <w:r w:rsidR="00852134" w:rsidRPr="00191D29">
        <w:t>As this means that</w:t>
      </w:r>
      <w:r w:rsidR="00C70E56" w:rsidRPr="00191D29">
        <w:t xml:space="preserve"> </w:t>
      </w:r>
      <w:r w:rsidR="000C4E62" w:rsidRPr="00191D29">
        <w:t>amendment</w:t>
      </w:r>
      <w:r w:rsidR="000D6F8D" w:rsidRPr="00191D29">
        <w:t xml:space="preserve"> of</w:t>
      </w:r>
      <w:r w:rsidR="000C4E62" w:rsidRPr="00191D29">
        <w:t xml:space="preserve"> the </w:t>
      </w:r>
      <w:r w:rsidR="00852134" w:rsidRPr="00191D29">
        <w:t xml:space="preserve">regulations would </w:t>
      </w:r>
      <w:r w:rsidR="001B1B72" w:rsidRPr="00191D29">
        <w:t xml:space="preserve">be required </w:t>
      </w:r>
      <w:r w:rsidR="00F61BD0" w:rsidRPr="00191D29">
        <w:t xml:space="preserve">to make </w:t>
      </w:r>
      <w:r w:rsidR="00A76014" w:rsidRPr="00191D29">
        <w:t xml:space="preserve">any </w:t>
      </w:r>
      <w:r w:rsidR="00F61BD0" w:rsidRPr="00191D29">
        <w:t xml:space="preserve">adjustments to the contribution </w:t>
      </w:r>
      <w:r w:rsidR="005E425F" w:rsidRPr="00191D29">
        <w:t xml:space="preserve">quantum </w:t>
      </w:r>
      <w:r w:rsidR="00F61BD0" w:rsidRPr="00191D29">
        <w:t>and</w:t>
      </w:r>
      <w:r w:rsidR="00AE1F59" w:rsidRPr="00191D29">
        <w:t>/or</w:t>
      </w:r>
      <w:r w:rsidR="00F61BD0" w:rsidRPr="00191D29">
        <w:t xml:space="preserve"> the reward </w:t>
      </w:r>
      <w:r w:rsidR="00724EF6" w:rsidRPr="00191D29">
        <w:t>rate</w:t>
      </w:r>
      <w:r w:rsidR="00A76014" w:rsidRPr="00191D29">
        <w:t xml:space="preserve"> – </w:t>
      </w:r>
      <w:r w:rsidR="00724EF6" w:rsidRPr="00191D29">
        <w:t xml:space="preserve">which it is anticipated would be required within 5 years </w:t>
      </w:r>
      <w:r w:rsidR="00DB6DA2" w:rsidRPr="00191D29">
        <w:t>following entry into force</w:t>
      </w:r>
      <w:r w:rsidR="00A76014" w:rsidRPr="00191D29">
        <w:t xml:space="preserve"> – </w:t>
      </w:r>
      <w:r w:rsidR="00DB6DA2" w:rsidRPr="00191D29">
        <w:t xml:space="preserve">it is </w:t>
      </w:r>
      <w:r w:rsidR="00C076EA" w:rsidRPr="00191D29">
        <w:t xml:space="preserve">now </w:t>
      </w:r>
      <w:r w:rsidR="00DB6DA2" w:rsidRPr="00191D29">
        <w:t xml:space="preserve">proposed that </w:t>
      </w:r>
      <w:r w:rsidR="00C70E56" w:rsidRPr="00191D29">
        <w:t>the</w:t>
      </w:r>
      <w:r w:rsidR="00647DCE" w:rsidRPr="00191D29">
        <w:t xml:space="preserve">re </w:t>
      </w:r>
      <w:r w:rsidR="0021200D" w:rsidRPr="00191D29">
        <w:t xml:space="preserve">should </w:t>
      </w:r>
      <w:r w:rsidR="00647DCE" w:rsidRPr="00191D29">
        <w:t xml:space="preserve">be provision made for </w:t>
      </w:r>
      <w:r w:rsidR="0021200D" w:rsidRPr="00191D29">
        <w:t xml:space="preserve">a </w:t>
      </w:r>
      <w:r w:rsidR="00647DCE" w:rsidRPr="00191D29">
        <w:t xml:space="preserve">mandatory </w:t>
      </w:r>
      <w:r w:rsidR="00107D3D" w:rsidRPr="00191D29">
        <w:t xml:space="preserve">review of the regulations </w:t>
      </w:r>
      <w:r w:rsidR="00C523BD" w:rsidRPr="00191D29">
        <w:t xml:space="preserve">to </w:t>
      </w:r>
      <w:r w:rsidR="00107D3D" w:rsidRPr="00191D29">
        <w:t xml:space="preserve">commence two years following </w:t>
      </w:r>
      <w:r w:rsidR="00D65754" w:rsidRPr="00191D29">
        <w:t xml:space="preserve">their initial </w:t>
      </w:r>
      <w:r w:rsidR="00107D3D" w:rsidRPr="00191D29">
        <w:t>entry into force</w:t>
      </w:r>
      <w:r w:rsidR="003A44AC" w:rsidRPr="00191D29">
        <w:t xml:space="preserve"> to allow time for the process to be completed</w:t>
      </w:r>
      <w:r w:rsidR="001C3D89" w:rsidRPr="00191D29">
        <w:t>,</w:t>
      </w:r>
      <w:r w:rsidR="00647DCE" w:rsidRPr="00191D29">
        <w:t xml:space="preserve"> noting that a minimum 22 month period is required for approval, adoption and acceptance before amendments to MARPOL Annex VI can enter into force</w:t>
      </w:r>
      <w:r w:rsidR="00D65754" w:rsidRPr="00191D29">
        <w:t>.</w:t>
      </w:r>
      <w:r w:rsidR="003A44AC" w:rsidRPr="00191D29">
        <w:t xml:space="preserve"> </w:t>
      </w:r>
    </w:p>
    <w:p w14:paraId="5C7BF854" w14:textId="77777777" w:rsidR="0076269C" w:rsidRPr="00191D29" w:rsidRDefault="0076269C" w:rsidP="006B337E">
      <w:pPr>
        <w:tabs>
          <w:tab w:val="clear" w:pos="851"/>
        </w:tabs>
      </w:pPr>
    </w:p>
    <w:p w14:paraId="6D4A91F8" w14:textId="7B5BCA91" w:rsidR="000D2EFD" w:rsidRPr="00191D29" w:rsidRDefault="0076269C" w:rsidP="006B337E">
      <w:pPr>
        <w:tabs>
          <w:tab w:val="clear" w:pos="851"/>
        </w:tabs>
      </w:pPr>
      <w:r w:rsidRPr="00191D29">
        <w:t>58</w:t>
      </w:r>
      <w:r w:rsidRPr="00191D29">
        <w:tab/>
      </w:r>
      <w:r w:rsidR="00B73070" w:rsidRPr="00191D29">
        <w:t xml:space="preserve">However, </w:t>
      </w:r>
      <w:r w:rsidR="006B4AE7" w:rsidRPr="00191D29">
        <w:t>whilst the contribution and reward rate per tonne of CO</w:t>
      </w:r>
      <w:r w:rsidR="006B4AE7" w:rsidRPr="00191D29">
        <w:rPr>
          <w:vertAlign w:val="subscript"/>
        </w:rPr>
        <w:t>2</w:t>
      </w:r>
      <w:r w:rsidR="006B4AE7" w:rsidRPr="00191D29">
        <w:t xml:space="preserve">e emitted or prevented </w:t>
      </w:r>
      <w:r w:rsidR="00DA1CBA" w:rsidRPr="00191D29">
        <w:t xml:space="preserve">would be set out in MARPOL Annex VI, </w:t>
      </w:r>
      <w:r w:rsidR="00C076EA" w:rsidRPr="00191D29">
        <w:t xml:space="preserve">it </w:t>
      </w:r>
      <w:r w:rsidR="00B73070" w:rsidRPr="00191D29">
        <w:t xml:space="preserve">is </w:t>
      </w:r>
      <w:r w:rsidR="00D06FD8" w:rsidRPr="00191D29">
        <w:t xml:space="preserve">still </w:t>
      </w:r>
      <w:r w:rsidR="00B73070" w:rsidRPr="00191D29">
        <w:t xml:space="preserve">suggested that </w:t>
      </w:r>
      <w:r w:rsidR="00024EAB" w:rsidRPr="00191D29">
        <w:t xml:space="preserve">details concerning </w:t>
      </w:r>
      <w:r w:rsidR="00B73070" w:rsidRPr="00191D29">
        <w:t>the contribution and reward rate</w:t>
      </w:r>
      <w:r w:rsidR="000D2EFD" w:rsidRPr="00191D29">
        <w:t xml:space="preserve">s </w:t>
      </w:r>
      <w:r w:rsidR="005916AE" w:rsidRPr="00191D29">
        <w:t>of</w:t>
      </w:r>
      <w:r w:rsidR="000D2EFD" w:rsidRPr="00191D29">
        <w:t xml:space="preserve"> different fuel</w:t>
      </w:r>
      <w:r w:rsidR="007665EB" w:rsidRPr="00191D29">
        <w:t xml:space="preserve"> types</w:t>
      </w:r>
      <w:r w:rsidR="002C47BC" w:rsidRPr="00191D29">
        <w:t xml:space="preserve"> (per tonne of fuel consumed)</w:t>
      </w:r>
      <w:r w:rsidR="00B57B1F" w:rsidRPr="00191D29">
        <w:t xml:space="preserve"> </w:t>
      </w:r>
      <w:r w:rsidR="000D2EFD" w:rsidRPr="00191D29">
        <w:t xml:space="preserve">should be </w:t>
      </w:r>
      <w:r w:rsidR="00B57B1F" w:rsidRPr="00191D29">
        <w:t>set out</w:t>
      </w:r>
      <w:r w:rsidR="000D2EFD" w:rsidRPr="00191D29">
        <w:t xml:space="preserve"> in separate Guideline</w:t>
      </w:r>
      <w:r w:rsidR="00647DCE" w:rsidRPr="00191D29">
        <w:t>s</w:t>
      </w:r>
      <w:r w:rsidR="000D2EFD" w:rsidRPr="00191D29">
        <w:t xml:space="preserve"> to be adopted by the MEPC (</w:t>
      </w:r>
      <w:r w:rsidR="00647DCE" w:rsidRPr="00191D29">
        <w:t>draft Guidelines are</w:t>
      </w:r>
      <w:r w:rsidR="000D2EFD" w:rsidRPr="00191D29">
        <w:t xml:space="preserve"> </w:t>
      </w:r>
      <w:r w:rsidR="00192308" w:rsidRPr="00191D29">
        <w:t xml:space="preserve">set </w:t>
      </w:r>
      <w:r w:rsidR="00647DCE" w:rsidRPr="00191D29">
        <w:t xml:space="preserve">out </w:t>
      </w:r>
      <w:r w:rsidR="00192308" w:rsidRPr="00191D29">
        <w:t xml:space="preserve">in </w:t>
      </w:r>
      <w:r w:rsidR="00D3552A" w:rsidRPr="00191D29">
        <w:lastRenderedPageBreak/>
        <w:t>a</w:t>
      </w:r>
      <w:r w:rsidR="000D2EFD" w:rsidRPr="00191D29">
        <w:t xml:space="preserve">nnex </w:t>
      </w:r>
      <w:r w:rsidR="00D3552A" w:rsidRPr="00191D29">
        <w:t>3</w:t>
      </w:r>
      <w:r w:rsidR="000D2EFD" w:rsidRPr="00191D29">
        <w:t xml:space="preserve"> of this document)</w:t>
      </w:r>
      <w:r w:rsidR="00032B5C" w:rsidRPr="00191D29">
        <w:t xml:space="preserve"> which will take account of the </w:t>
      </w:r>
      <w:r w:rsidR="00D06FD8" w:rsidRPr="00191D29">
        <w:t xml:space="preserve">latest version of the </w:t>
      </w:r>
      <w:r w:rsidR="00032B5C" w:rsidRPr="00191D29">
        <w:t>LCA Guidelines and the agreed CO</w:t>
      </w:r>
      <w:r w:rsidR="00032B5C" w:rsidRPr="00191D29">
        <w:rPr>
          <w:vertAlign w:val="subscript"/>
        </w:rPr>
        <w:t>2</w:t>
      </w:r>
      <w:r w:rsidR="00032B5C" w:rsidRPr="00191D29">
        <w:t xml:space="preserve">e conversion factors and energy densities of </w:t>
      </w:r>
      <w:r w:rsidR="00D06FD8" w:rsidRPr="00191D29">
        <w:t>different</w:t>
      </w:r>
      <w:r w:rsidR="00032B5C" w:rsidRPr="00191D29">
        <w:t xml:space="preserve"> fuels</w:t>
      </w:r>
      <w:r w:rsidR="00D06FD8" w:rsidRPr="00191D29">
        <w:t>.</w:t>
      </w:r>
    </w:p>
    <w:p w14:paraId="6659EC8D" w14:textId="77777777" w:rsidR="003E3C15" w:rsidRPr="00191D29" w:rsidRDefault="003E3C15" w:rsidP="006B337E">
      <w:pPr>
        <w:tabs>
          <w:tab w:val="clear" w:pos="851"/>
        </w:tabs>
      </w:pPr>
    </w:p>
    <w:p w14:paraId="31B55116" w14:textId="08C8FA33" w:rsidR="00541AF6" w:rsidRPr="00191D29" w:rsidRDefault="00772E7B" w:rsidP="006B337E">
      <w:pPr>
        <w:tabs>
          <w:tab w:val="clear" w:pos="851"/>
        </w:tabs>
      </w:pPr>
      <w:r w:rsidRPr="00191D29">
        <w:t>5</w:t>
      </w:r>
      <w:r w:rsidR="00B24B3C" w:rsidRPr="00191D29">
        <w:t>9</w:t>
      </w:r>
      <w:r w:rsidR="001227E8" w:rsidRPr="00191D29">
        <w:tab/>
      </w:r>
      <w:r w:rsidR="003E3C15" w:rsidRPr="00191D29">
        <w:t>With regard to setting the rewar</w:t>
      </w:r>
      <w:r w:rsidR="00210385" w:rsidRPr="00191D29">
        <w:t>d rate per tonne of CO</w:t>
      </w:r>
      <w:r w:rsidR="00210385" w:rsidRPr="00191D29">
        <w:rPr>
          <w:vertAlign w:val="subscript"/>
        </w:rPr>
        <w:t>2</w:t>
      </w:r>
      <w:r w:rsidR="00210385" w:rsidRPr="00191D29">
        <w:t xml:space="preserve">e emissions prevented by the use of zero or near-zero GHG fuels, it </w:t>
      </w:r>
      <w:r w:rsidR="00434550" w:rsidRPr="00191D29">
        <w:t xml:space="preserve">is </w:t>
      </w:r>
      <w:r w:rsidR="00210385" w:rsidRPr="00191D29">
        <w:t xml:space="preserve">now proposed that </w:t>
      </w:r>
      <w:r w:rsidR="00A20FD4" w:rsidRPr="00191D29">
        <w:t>the reward rate</w:t>
      </w:r>
      <w:r w:rsidR="00210385" w:rsidRPr="00191D29">
        <w:t xml:space="preserve"> should be determined </w:t>
      </w:r>
      <w:r w:rsidR="0039123A" w:rsidRPr="00191D29">
        <w:t xml:space="preserve">by the Committee once the CIA is more </w:t>
      </w:r>
      <w:r w:rsidR="003B0831" w:rsidRPr="00191D29">
        <w:t xml:space="preserve">advanced, rather than, as previously suggested, </w:t>
      </w:r>
      <w:r w:rsidR="003A46E6" w:rsidRPr="00191D29">
        <w:t xml:space="preserve">directly </w:t>
      </w:r>
      <w:r w:rsidR="00F94F80" w:rsidRPr="00191D29">
        <w:t>linking this to the average price of conventional fuel</w:t>
      </w:r>
      <w:r w:rsidR="001A4A45" w:rsidRPr="00191D29">
        <w:t xml:space="preserve"> </w:t>
      </w:r>
      <w:r w:rsidR="006D3E85" w:rsidRPr="00191D29">
        <w:t xml:space="preserve">oil </w:t>
      </w:r>
      <w:r w:rsidR="001A4A45" w:rsidRPr="00191D29">
        <w:t>during the period preceding the adoption of the measure</w:t>
      </w:r>
      <w:r w:rsidR="00187EC4" w:rsidRPr="00191D29">
        <w:t>. However, to avoid market distortion</w:t>
      </w:r>
      <w:r w:rsidR="00405A60" w:rsidRPr="00191D29">
        <w:t xml:space="preserve"> it will </w:t>
      </w:r>
      <w:r w:rsidR="00A26B47" w:rsidRPr="00191D29">
        <w:t xml:space="preserve">still </w:t>
      </w:r>
      <w:r w:rsidR="00405A60" w:rsidRPr="00191D29">
        <w:t>be important to ensure that the rewar</w:t>
      </w:r>
      <w:r w:rsidR="00D92C5E" w:rsidRPr="00191D29">
        <w:t xml:space="preserve">d rate </w:t>
      </w:r>
      <w:r w:rsidR="00A027EF" w:rsidRPr="00191D29">
        <w:t xml:space="preserve">is set at a level </w:t>
      </w:r>
      <w:r w:rsidR="000E6B08" w:rsidRPr="00191D29">
        <w:t>which</w:t>
      </w:r>
      <w:r w:rsidR="007A2005" w:rsidRPr="00191D29">
        <w:t xml:space="preserve"> narrows the cost gap </w:t>
      </w:r>
      <w:r w:rsidR="00A027EF" w:rsidRPr="00191D29">
        <w:t xml:space="preserve">with conventional fuels </w:t>
      </w:r>
      <w:r w:rsidR="00C739F1">
        <w:t>but</w:t>
      </w:r>
      <w:r w:rsidR="007A2005" w:rsidRPr="00191D29">
        <w:t xml:space="preserve"> </w:t>
      </w:r>
      <w:r w:rsidR="00D92C5E" w:rsidRPr="00191D29">
        <w:t xml:space="preserve">does </w:t>
      </w:r>
      <w:r w:rsidR="00A027EF" w:rsidRPr="00191D29">
        <w:t xml:space="preserve">not </w:t>
      </w:r>
      <w:r w:rsidR="00D92C5E" w:rsidRPr="00191D29">
        <w:t>close the cost gap completely</w:t>
      </w:r>
      <w:r w:rsidR="007A2005" w:rsidRPr="00191D29">
        <w:t>.</w:t>
      </w:r>
    </w:p>
    <w:p w14:paraId="620E2231" w14:textId="77777777" w:rsidR="000A45AC" w:rsidRPr="00191D29" w:rsidRDefault="000A45AC" w:rsidP="006B337E">
      <w:pPr>
        <w:tabs>
          <w:tab w:val="clear" w:pos="851"/>
        </w:tabs>
        <w:sectPr w:rsidR="000A45AC" w:rsidRPr="00191D29" w:rsidSect="00DF3E2F">
          <w:headerReference w:type="even" r:id="rId22"/>
          <w:headerReference w:type="default" r:id="rId23"/>
          <w:footnotePr>
            <w:numRestart w:val="eachSect"/>
          </w:footnotePr>
          <w:type w:val="continuous"/>
          <w:pgSz w:w="11906" w:h="16838"/>
          <w:pgMar w:top="1440" w:right="1440" w:bottom="1440" w:left="1440" w:header="709" w:footer="709" w:gutter="0"/>
          <w:pgNumType w:start="1"/>
          <w:cols w:space="708"/>
          <w:titlePg/>
          <w:docGrid w:linePitch="360"/>
        </w:sectPr>
      </w:pPr>
    </w:p>
    <w:p w14:paraId="586BDF05" w14:textId="70B81BC4" w:rsidR="00942FD6" w:rsidRPr="00191D29" w:rsidRDefault="00942FD6" w:rsidP="006B337E">
      <w:pPr>
        <w:tabs>
          <w:tab w:val="clear" w:pos="851"/>
        </w:tabs>
      </w:pPr>
    </w:p>
    <w:p w14:paraId="79E5C899" w14:textId="0818521C" w:rsidR="00942FD6" w:rsidRPr="000A6875" w:rsidRDefault="003D6480" w:rsidP="006B337E">
      <w:pPr>
        <w:tabs>
          <w:tab w:val="clear" w:pos="851"/>
        </w:tabs>
      </w:pPr>
      <w:r w:rsidRPr="00191D29">
        <w:t>60</w:t>
      </w:r>
      <w:r w:rsidR="00942FD6" w:rsidRPr="00191D29">
        <w:t xml:space="preserve"> </w:t>
      </w:r>
      <w:r w:rsidR="00942FD6" w:rsidRPr="00191D29">
        <w:tab/>
        <w:t>A</w:t>
      </w:r>
      <w:r w:rsidR="00A50901" w:rsidRPr="00191D29">
        <w:t>n additional</w:t>
      </w:r>
      <w:r w:rsidR="00942FD6" w:rsidRPr="00191D29">
        <w:t xml:space="preserve"> </w:t>
      </w:r>
      <w:r w:rsidR="009D0E5B" w:rsidRPr="00191D29">
        <w:t xml:space="preserve">provision has now been </w:t>
      </w:r>
      <w:r w:rsidR="00B962E4" w:rsidRPr="00191D29">
        <w:t xml:space="preserve">included </w:t>
      </w:r>
      <w:r w:rsidR="009D0E5B" w:rsidRPr="00191D29">
        <w:t xml:space="preserve">in the suggested regulations so that </w:t>
      </w:r>
      <w:r w:rsidR="005E2910" w:rsidRPr="00191D29">
        <w:t xml:space="preserve">smaller </w:t>
      </w:r>
      <w:r w:rsidR="009D0E5B" w:rsidRPr="00191D29">
        <w:t xml:space="preserve">ships </w:t>
      </w:r>
      <w:r w:rsidR="00227E5F" w:rsidRPr="00191D29">
        <w:t>which</w:t>
      </w:r>
      <w:r w:rsidR="000A686C" w:rsidRPr="00191D29">
        <w:t xml:space="preserve"> may fall </w:t>
      </w:r>
      <w:r w:rsidR="009D0E5B" w:rsidRPr="00191D29">
        <w:t>below the</w:t>
      </w:r>
      <w:r w:rsidR="00693B70" w:rsidRPr="00191D29">
        <w:t xml:space="preserve"> </w:t>
      </w:r>
      <w:r w:rsidR="00B962E4" w:rsidRPr="00191D29">
        <w:t xml:space="preserve">application </w:t>
      </w:r>
      <w:r w:rsidR="0014344F" w:rsidRPr="00191D29">
        <w:t xml:space="preserve">of the </w:t>
      </w:r>
      <w:r w:rsidR="00F8505C" w:rsidRPr="000A6875">
        <w:t xml:space="preserve">possible </w:t>
      </w:r>
      <w:r w:rsidR="000A686C" w:rsidRPr="000A6875">
        <w:t xml:space="preserve">initial </w:t>
      </w:r>
      <w:r w:rsidR="00693B70" w:rsidRPr="000A6875">
        <w:t xml:space="preserve">threshold of </w:t>
      </w:r>
      <w:r w:rsidR="00227E5F" w:rsidRPr="000A6875">
        <w:t>[</w:t>
      </w:r>
      <w:r w:rsidR="00693B70" w:rsidRPr="000A6875">
        <w:t>5,000</w:t>
      </w:r>
      <w:r w:rsidR="00227E5F" w:rsidRPr="000A6875">
        <w:t>]</w:t>
      </w:r>
      <w:r w:rsidR="00693B70" w:rsidRPr="000A6875">
        <w:t xml:space="preserve"> </w:t>
      </w:r>
      <w:r w:rsidR="00693B70" w:rsidRPr="00191D29">
        <w:t>gross tonnage an</w:t>
      </w:r>
      <w:r w:rsidR="00CF170B" w:rsidRPr="00191D29">
        <w:t>d</w:t>
      </w:r>
      <w:r w:rsidR="00693B70" w:rsidRPr="00191D29">
        <w:t xml:space="preserve"> above </w:t>
      </w:r>
      <w:r w:rsidR="006712EA" w:rsidRPr="00191D29">
        <w:t xml:space="preserve">may </w:t>
      </w:r>
      <w:r w:rsidR="00CF170B" w:rsidRPr="00191D29">
        <w:t xml:space="preserve">also </w:t>
      </w:r>
      <w:r w:rsidR="005E2910" w:rsidRPr="00191D29">
        <w:t xml:space="preserve">be eligible for </w:t>
      </w:r>
      <w:r w:rsidR="00CF170B" w:rsidRPr="00191D29">
        <w:t>rewards</w:t>
      </w:r>
      <w:r w:rsidR="006712EA" w:rsidRPr="00191D29">
        <w:t xml:space="preserve"> for the use of zero/near-zero </w:t>
      </w:r>
      <w:r w:rsidR="009407DE" w:rsidRPr="00191D29">
        <w:t xml:space="preserve">GHG </w:t>
      </w:r>
      <w:r w:rsidR="006712EA" w:rsidRPr="00191D29">
        <w:t>fuels</w:t>
      </w:r>
      <w:r w:rsidR="00591AAD">
        <w:t xml:space="preserve"> and technologies</w:t>
      </w:r>
      <w:r w:rsidR="00586E7B" w:rsidRPr="00191D29">
        <w:t xml:space="preserve">, provided </w:t>
      </w:r>
      <w:r w:rsidR="00EF187D" w:rsidRPr="00191D29">
        <w:t xml:space="preserve">that </w:t>
      </w:r>
      <w:r w:rsidR="00586E7B" w:rsidRPr="00191D29">
        <w:t xml:space="preserve">arrangements </w:t>
      </w:r>
      <w:r w:rsidR="003F3F36" w:rsidRPr="00191D29">
        <w:t>are</w:t>
      </w:r>
      <w:r w:rsidR="00EF187D" w:rsidRPr="00191D29">
        <w:t xml:space="preserve"> also </w:t>
      </w:r>
      <w:r w:rsidR="003F3F36" w:rsidRPr="00191D29">
        <w:t>made for such ships to make contributions to the ZESF.</w:t>
      </w:r>
      <w:r w:rsidR="00F8505C" w:rsidRPr="00191D29">
        <w:t xml:space="preserve"> </w:t>
      </w:r>
      <w:r w:rsidR="00511137" w:rsidRPr="000A6875">
        <w:t xml:space="preserve">Access by smaller ships to rewards </w:t>
      </w:r>
      <w:r w:rsidR="00F8505C" w:rsidRPr="000A6875">
        <w:t xml:space="preserve">is </w:t>
      </w:r>
      <w:r w:rsidR="00511137" w:rsidRPr="000A6875">
        <w:t>i</w:t>
      </w:r>
      <w:r w:rsidR="00F8505C" w:rsidRPr="000A6875">
        <w:t>mportant</w:t>
      </w:r>
      <w:r w:rsidR="00834E3F" w:rsidRPr="000A6875">
        <w:t xml:space="preserve"> </w:t>
      </w:r>
      <w:r w:rsidR="0098322E" w:rsidRPr="000A6875">
        <w:t xml:space="preserve">as, </w:t>
      </w:r>
      <w:r w:rsidR="001C2C1F" w:rsidRPr="000A6875">
        <w:t xml:space="preserve">aside from </w:t>
      </w:r>
      <w:r w:rsidR="00FB4CA1" w:rsidRPr="000A6875">
        <w:t xml:space="preserve">the need to maintain fair competition, </w:t>
      </w:r>
      <w:r w:rsidR="009951FB" w:rsidRPr="000A6875">
        <w:t xml:space="preserve">smaller ships are </w:t>
      </w:r>
      <w:r w:rsidR="00A52DC4" w:rsidRPr="000A6875">
        <w:t xml:space="preserve">probably </w:t>
      </w:r>
      <w:r w:rsidR="009951FB" w:rsidRPr="000A6875">
        <w:t xml:space="preserve">more likely </w:t>
      </w:r>
      <w:r w:rsidR="00C62625" w:rsidRPr="000A6875">
        <w:t xml:space="preserve">than larger ships </w:t>
      </w:r>
      <w:r w:rsidR="009951FB" w:rsidRPr="000A6875">
        <w:t xml:space="preserve">to </w:t>
      </w:r>
      <w:r w:rsidR="007A4443" w:rsidRPr="000A6875">
        <w:t xml:space="preserve">be </w:t>
      </w:r>
      <w:r w:rsidR="009951FB" w:rsidRPr="000A6875">
        <w:t>able to use</w:t>
      </w:r>
      <w:r w:rsidR="00FA1E71" w:rsidRPr="000A6875">
        <w:t xml:space="preserve"> </w:t>
      </w:r>
      <w:r w:rsidR="00A52DC4" w:rsidRPr="000A6875">
        <w:t xml:space="preserve">certain </w:t>
      </w:r>
      <w:r w:rsidR="00FA1E71" w:rsidRPr="000A6875">
        <w:t>zero/near zero GHG fuels</w:t>
      </w:r>
      <w:r w:rsidR="00A52DC4" w:rsidRPr="000A6875">
        <w:t xml:space="preserve">, technologies and energy sources </w:t>
      </w:r>
      <w:r w:rsidR="00FA1E71" w:rsidRPr="000A6875">
        <w:t xml:space="preserve">in the </w:t>
      </w:r>
      <w:r w:rsidR="00DF6279" w:rsidRPr="000A6875">
        <w:t>early years</w:t>
      </w:r>
      <w:r w:rsidR="0098322E" w:rsidRPr="000A6875">
        <w:t xml:space="preserve"> of implementation </w:t>
      </w:r>
      <w:r w:rsidR="00E90C8A" w:rsidRPr="000A6875">
        <w:t>of the measure</w:t>
      </w:r>
      <w:r w:rsidR="00946746" w:rsidRPr="000A6875">
        <w:t xml:space="preserve">, </w:t>
      </w:r>
      <w:r w:rsidR="00A52DC4" w:rsidRPr="000A6875">
        <w:t xml:space="preserve">thus </w:t>
      </w:r>
      <w:r w:rsidR="00946746" w:rsidRPr="000A6875">
        <w:t xml:space="preserve">helping </w:t>
      </w:r>
      <w:r w:rsidR="00E90C8A" w:rsidRPr="000A6875">
        <w:t xml:space="preserve">achievement of the </w:t>
      </w:r>
      <w:r w:rsidR="00F26A7E" w:rsidRPr="000A6875">
        <w:t xml:space="preserve">2030 </w:t>
      </w:r>
      <w:r w:rsidR="00946746" w:rsidRPr="000A6875">
        <w:t xml:space="preserve">level of ambition for </w:t>
      </w:r>
      <w:r w:rsidR="0022667C" w:rsidRPr="000A6875">
        <w:t>5</w:t>
      </w:r>
      <w:r w:rsidR="00A52DC4" w:rsidRPr="000A6875">
        <w:t xml:space="preserve"> to </w:t>
      </w:r>
      <w:r w:rsidR="0022667C" w:rsidRPr="000A6875">
        <w:t xml:space="preserve">10% of the energy used by international shipping to be </w:t>
      </w:r>
      <w:r w:rsidR="00995601" w:rsidRPr="000A6875">
        <w:t>generated from</w:t>
      </w:r>
      <w:r w:rsidR="00203036" w:rsidRPr="000A6875">
        <w:t xml:space="preserve"> </w:t>
      </w:r>
      <w:r w:rsidR="007A4443" w:rsidRPr="000A6875">
        <w:t xml:space="preserve">zero/near-zero GHG </w:t>
      </w:r>
      <w:r w:rsidR="0022667C" w:rsidRPr="000A6875">
        <w:t>fuels</w:t>
      </w:r>
      <w:r w:rsidR="00A52DC4" w:rsidRPr="000A6875">
        <w:t>, technologies</w:t>
      </w:r>
      <w:r w:rsidR="00250C78" w:rsidRPr="000A6875">
        <w:t xml:space="preserve"> and/or energy sources</w:t>
      </w:r>
      <w:r w:rsidR="00017C0A" w:rsidRPr="000A6875">
        <w:t>.</w:t>
      </w:r>
      <w:r w:rsidR="007A4443" w:rsidRPr="000A6875">
        <w:t xml:space="preserve"> </w:t>
      </w:r>
      <w:r w:rsidR="0022667C" w:rsidRPr="000A6875">
        <w:t xml:space="preserve">  </w:t>
      </w:r>
      <w:r w:rsidR="00946746" w:rsidRPr="000A6875">
        <w:t xml:space="preserve"> </w:t>
      </w:r>
      <w:r w:rsidR="00DF6279" w:rsidRPr="000A6875">
        <w:t xml:space="preserve"> </w:t>
      </w:r>
      <w:r w:rsidR="00FA1E71" w:rsidRPr="000A6875">
        <w:t xml:space="preserve"> </w:t>
      </w:r>
      <w:r w:rsidR="009951FB" w:rsidRPr="000A6875">
        <w:t xml:space="preserve"> </w:t>
      </w:r>
      <w:r w:rsidR="003F3F36" w:rsidRPr="000A6875">
        <w:t xml:space="preserve"> </w:t>
      </w:r>
    </w:p>
    <w:p w14:paraId="28670A6A" w14:textId="0891D7D6" w:rsidR="00541AF6" w:rsidRPr="000A6875" w:rsidRDefault="00541AF6" w:rsidP="006B337E">
      <w:pPr>
        <w:tabs>
          <w:tab w:val="clear" w:pos="851"/>
        </w:tabs>
      </w:pPr>
    </w:p>
    <w:p w14:paraId="0899DB61" w14:textId="286390A8" w:rsidR="00647DCE" w:rsidRPr="000A6875" w:rsidRDefault="00647DCE" w:rsidP="00DE29DC">
      <w:pPr>
        <w:keepNext/>
        <w:keepLines/>
        <w:tabs>
          <w:tab w:val="clear" w:pos="851"/>
        </w:tabs>
      </w:pPr>
      <w:r w:rsidRPr="000A6875">
        <w:rPr>
          <w:b/>
          <w:bCs/>
        </w:rPr>
        <w:t xml:space="preserve">Treatment of </w:t>
      </w:r>
      <w:r w:rsidR="00B962E4" w:rsidRPr="000A6875">
        <w:rPr>
          <w:b/>
          <w:bCs/>
        </w:rPr>
        <w:t xml:space="preserve">life-cycle </w:t>
      </w:r>
      <w:r w:rsidRPr="000A6875">
        <w:rPr>
          <w:b/>
          <w:bCs/>
        </w:rPr>
        <w:t xml:space="preserve">emissions </w:t>
      </w:r>
    </w:p>
    <w:p w14:paraId="00BD5803" w14:textId="77777777" w:rsidR="00647DCE" w:rsidRPr="000A6875" w:rsidRDefault="00647DCE" w:rsidP="00DE29DC">
      <w:pPr>
        <w:keepNext/>
        <w:keepLines/>
        <w:tabs>
          <w:tab w:val="clear" w:pos="851"/>
        </w:tabs>
      </w:pPr>
    </w:p>
    <w:p w14:paraId="79B62127" w14:textId="6954265B" w:rsidR="00090F9D" w:rsidRPr="000A6875" w:rsidRDefault="005D0B49" w:rsidP="000A6875">
      <w:pPr>
        <w:keepNext/>
        <w:keepLines/>
        <w:tabs>
          <w:tab w:val="clear" w:pos="851"/>
        </w:tabs>
      </w:pPr>
      <w:r w:rsidRPr="000A6875">
        <w:t>6</w:t>
      </w:r>
      <w:r w:rsidR="005B2041" w:rsidRPr="000A6875">
        <w:t>1</w:t>
      </w:r>
      <w:r w:rsidR="00541AF6" w:rsidRPr="000A6875">
        <w:tab/>
        <w:t xml:space="preserve">The </w:t>
      </w:r>
      <w:r w:rsidR="00791F69" w:rsidRPr="000A6875">
        <w:t xml:space="preserve">possible draft </w:t>
      </w:r>
      <w:r w:rsidR="00541AF6" w:rsidRPr="000A6875">
        <w:t xml:space="preserve">regulations now </w:t>
      </w:r>
      <w:r w:rsidR="00791F69" w:rsidRPr="000A6875">
        <w:t xml:space="preserve">incorporate references </w:t>
      </w:r>
      <w:r w:rsidR="00541AF6" w:rsidRPr="000A6875">
        <w:t>to CO</w:t>
      </w:r>
      <w:r w:rsidR="00541AF6" w:rsidRPr="000A6875">
        <w:rPr>
          <w:vertAlign w:val="subscript"/>
        </w:rPr>
        <w:t>2</w:t>
      </w:r>
      <w:r w:rsidR="00541AF6" w:rsidRPr="000A6875">
        <w:t>e emissions, rather than CO</w:t>
      </w:r>
      <w:r w:rsidR="00541AF6" w:rsidRPr="000A6875">
        <w:rPr>
          <w:vertAlign w:val="subscript"/>
        </w:rPr>
        <w:t>2</w:t>
      </w:r>
      <w:r w:rsidR="00541AF6" w:rsidRPr="000A6875">
        <w:t xml:space="preserve"> emissions, to be consistent with </w:t>
      </w:r>
      <w:r w:rsidR="000E6B08" w:rsidRPr="000A6875">
        <w:t xml:space="preserve">the </w:t>
      </w:r>
      <w:r w:rsidR="00541AF6" w:rsidRPr="000A6875">
        <w:t xml:space="preserve">2023 IMO GHG Strategy. </w:t>
      </w:r>
      <w:r w:rsidR="00090F9D" w:rsidRPr="000A6875">
        <w:t xml:space="preserve">The suggested </w:t>
      </w:r>
      <w:r w:rsidR="007055EF" w:rsidRPr="000A6875">
        <w:t xml:space="preserve">MARPOL </w:t>
      </w:r>
      <w:r w:rsidR="00090F9D" w:rsidRPr="000A6875">
        <w:t xml:space="preserve">amendments, in annex 1 of this document, </w:t>
      </w:r>
      <w:r w:rsidR="007055EF" w:rsidRPr="000A6875">
        <w:t xml:space="preserve">set out the contribution by ships </w:t>
      </w:r>
      <w:r w:rsidR="00984351" w:rsidRPr="000A6875">
        <w:t xml:space="preserve">to the ZESF </w:t>
      </w:r>
      <w:r w:rsidR="007055EF" w:rsidRPr="000A6875">
        <w:t>per ton</w:t>
      </w:r>
      <w:r w:rsidR="0070069D" w:rsidRPr="000A6875">
        <w:t>n</w:t>
      </w:r>
      <w:r w:rsidR="007055EF" w:rsidRPr="000A6875">
        <w:t>e of CO</w:t>
      </w:r>
      <w:r w:rsidR="007055EF" w:rsidRPr="000A6875">
        <w:rPr>
          <w:vertAlign w:val="subscript"/>
        </w:rPr>
        <w:t>2</w:t>
      </w:r>
      <w:r w:rsidR="007055EF" w:rsidRPr="000A6875">
        <w:t>e emitted and the reward rate per tonne of CO</w:t>
      </w:r>
      <w:r w:rsidR="007055EF" w:rsidRPr="000A6875">
        <w:rPr>
          <w:vertAlign w:val="subscript"/>
        </w:rPr>
        <w:t>2</w:t>
      </w:r>
      <w:r w:rsidR="007055EF" w:rsidRPr="000A6875">
        <w:t xml:space="preserve">e prevented by the use </w:t>
      </w:r>
      <w:r w:rsidR="000F7C4C" w:rsidRPr="000A6875">
        <w:t xml:space="preserve">by ships </w:t>
      </w:r>
      <w:r w:rsidR="007055EF" w:rsidRPr="000A6875">
        <w:t xml:space="preserve">of </w:t>
      </w:r>
      <w:r w:rsidR="00694DEA" w:rsidRPr="000A6875">
        <w:t xml:space="preserve">eligible </w:t>
      </w:r>
      <w:r w:rsidR="008F35E3" w:rsidRPr="000A6875">
        <w:t>zero/near-zero GHG fuel</w:t>
      </w:r>
      <w:r w:rsidR="0070069D" w:rsidRPr="000A6875">
        <w:t>s</w:t>
      </w:r>
      <w:r w:rsidR="00A72EB3">
        <w:t xml:space="preserve"> </w:t>
      </w:r>
      <w:r w:rsidR="00AD1219">
        <w:t>etc.</w:t>
      </w:r>
      <w:r w:rsidR="003277AF" w:rsidRPr="000A6875">
        <w:t xml:space="preserve"> </w:t>
      </w:r>
    </w:p>
    <w:p w14:paraId="56C9C436" w14:textId="5A524AF2" w:rsidR="000A3169" w:rsidRPr="000A6875" w:rsidRDefault="008C6B6D" w:rsidP="006B337E">
      <w:pPr>
        <w:tabs>
          <w:tab w:val="clear" w:pos="851"/>
        </w:tabs>
      </w:pPr>
      <w:r w:rsidRPr="000A6875">
        <w:tab/>
      </w:r>
    </w:p>
    <w:p w14:paraId="14C7180C" w14:textId="6B32AF83" w:rsidR="004043A2" w:rsidRPr="000A6875" w:rsidRDefault="005D0B49" w:rsidP="004043A2">
      <w:pPr>
        <w:tabs>
          <w:tab w:val="clear" w:pos="851"/>
        </w:tabs>
      </w:pPr>
      <w:r w:rsidRPr="000A6875">
        <w:t>62</w:t>
      </w:r>
      <w:r w:rsidR="000A3169" w:rsidRPr="000A6875">
        <w:tab/>
      </w:r>
      <w:r w:rsidR="00BA1828" w:rsidRPr="000A6875">
        <w:t>T</w:t>
      </w:r>
      <w:r w:rsidR="001032D0" w:rsidRPr="000A6875">
        <w:t xml:space="preserve">o take account of the </w:t>
      </w:r>
      <w:r w:rsidR="009720E0" w:rsidRPr="000A6875">
        <w:t>life-cycle emission</w:t>
      </w:r>
      <w:r w:rsidR="007572AB" w:rsidRPr="000A6875">
        <w:t>s</w:t>
      </w:r>
      <w:r w:rsidR="009720E0" w:rsidRPr="000A6875">
        <w:t xml:space="preserve"> of </w:t>
      </w:r>
      <w:r w:rsidR="00320054" w:rsidRPr="000A6875">
        <w:t>zero/near</w:t>
      </w:r>
      <w:r w:rsidR="00212193" w:rsidRPr="000A6875">
        <w:t>-</w:t>
      </w:r>
      <w:r w:rsidR="00320054" w:rsidRPr="000A6875">
        <w:t xml:space="preserve">zero-GHG </w:t>
      </w:r>
      <w:r w:rsidR="00E74B78" w:rsidRPr="000A6875">
        <w:t>fuels</w:t>
      </w:r>
      <w:r w:rsidR="005C0D91" w:rsidRPr="000A6875">
        <w:t>,</w:t>
      </w:r>
      <w:r w:rsidR="00E74B78" w:rsidRPr="000A6875">
        <w:t xml:space="preserve"> </w:t>
      </w:r>
      <w:r w:rsidR="00212193" w:rsidRPr="000A6875">
        <w:t>so that a lower contribution rate will be applicable</w:t>
      </w:r>
      <w:r w:rsidR="006E0E3A" w:rsidRPr="000A6875">
        <w:t xml:space="preserve"> in order to incentivi</w:t>
      </w:r>
      <w:r w:rsidR="008C3718">
        <w:t>z</w:t>
      </w:r>
      <w:r w:rsidR="006E0E3A" w:rsidRPr="000A6875">
        <w:t xml:space="preserve">e the uptake of such fuels, including </w:t>
      </w:r>
      <w:r w:rsidR="005C0D91" w:rsidRPr="000A6875">
        <w:t xml:space="preserve">the </w:t>
      </w:r>
      <w:r w:rsidR="001776A5" w:rsidRPr="000A6875">
        <w:t xml:space="preserve">sustainable biofuel </w:t>
      </w:r>
      <w:r w:rsidR="000A3169" w:rsidRPr="000A6875">
        <w:t xml:space="preserve">component of </w:t>
      </w:r>
      <w:r w:rsidR="001776A5" w:rsidRPr="000A6875">
        <w:t>blends</w:t>
      </w:r>
      <w:r w:rsidR="005C0D91" w:rsidRPr="000A6875">
        <w:t xml:space="preserve">, </w:t>
      </w:r>
      <w:r w:rsidR="004A03EB" w:rsidRPr="000A6875">
        <w:t xml:space="preserve">it </w:t>
      </w:r>
      <w:r w:rsidR="006E016F" w:rsidRPr="000A6875">
        <w:t xml:space="preserve">is </w:t>
      </w:r>
      <w:r w:rsidR="004A03EB" w:rsidRPr="000A6875">
        <w:t>suggested</w:t>
      </w:r>
      <w:r w:rsidR="00B9699B" w:rsidRPr="000A6875">
        <w:t xml:space="preserve"> </w:t>
      </w:r>
      <w:r w:rsidR="004A03EB" w:rsidRPr="000A6875">
        <w:t xml:space="preserve">that the regulations should </w:t>
      </w:r>
      <w:r w:rsidR="00062D81" w:rsidRPr="000A6875">
        <w:t>not be explicit</w:t>
      </w:r>
      <w:r w:rsidR="004A03EB" w:rsidRPr="000A6875">
        <w:t xml:space="preserve"> on </w:t>
      </w:r>
      <w:r w:rsidR="005566B6" w:rsidRPr="000A6875">
        <w:t>how life-cycle emissions should be accounted for</w:t>
      </w:r>
      <w:r w:rsidR="005C0D91" w:rsidRPr="000A6875">
        <w:t>.</w:t>
      </w:r>
      <w:r w:rsidR="00F6332F" w:rsidRPr="000A6875">
        <w:t xml:space="preserve"> </w:t>
      </w:r>
      <w:r w:rsidR="005C0D91" w:rsidRPr="000A6875">
        <w:t xml:space="preserve">Instead </w:t>
      </w:r>
      <w:r w:rsidR="00283513" w:rsidRPr="000A6875">
        <w:t xml:space="preserve">it is suggested that </w:t>
      </w:r>
      <w:r w:rsidR="005C0D91" w:rsidRPr="000A6875">
        <w:t>a</w:t>
      </w:r>
      <w:r w:rsidR="00F43F10" w:rsidRPr="000A6875">
        <w:t>ctual contribution rate</w:t>
      </w:r>
      <w:r w:rsidR="00A7192B" w:rsidRPr="000A6875">
        <w:t>s</w:t>
      </w:r>
      <w:r w:rsidR="00F43F10" w:rsidRPr="000A6875">
        <w:t xml:space="preserve"> for different fuel</w:t>
      </w:r>
      <w:r w:rsidR="00777DE2" w:rsidRPr="000A6875">
        <w:t xml:space="preserve"> types</w:t>
      </w:r>
      <w:r w:rsidR="00D75CA6" w:rsidRPr="000A6875">
        <w:t>,</w:t>
      </w:r>
      <w:r w:rsidR="003063DD" w:rsidRPr="000A6875">
        <w:t xml:space="preserve"> </w:t>
      </w:r>
      <w:r w:rsidR="00073238" w:rsidRPr="000A6875">
        <w:t>per tonne of fuel consumed</w:t>
      </w:r>
      <w:r w:rsidR="00D341AC" w:rsidRPr="000A6875">
        <w:t>,</w:t>
      </w:r>
      <w:r w:rsidR="00073238" w:rsidRPr="000A6875">
        <w:t xml:space="preserve"> </w:t>
      </w:r>
      <w:r w:rsidR="00F43F10" w:rsidRPr="000A6875">
        <w:t>should be</w:t>
      </w:r>
      <w:r w:rsidR="00650FF5" w:rsidRPr="000A6875">
        <w:t xml:space="preserve"> set out </w:t>
      </w:r>
      <w:r w:rsidR="00F43F10" w:rsidRPr="000A6875">
        <w:t xml:space="preserve">in separate </w:t>
      </w:r>
      <w:r w:rsidR="00EE0C68" w:rsidRPr="000A6875">
        <w:t>G</w:t>
      </w:r>
      <w:r w:rsidR="00F43F10" w:rsidRPr="000A6875">
        <w:t>uidelines</w:t>
      </w:r>
      <w:r w:rsidR="007526F2" w:rsidRPr="000A6875">
        <w:t>,</w:t>
      </w:r>
      <w:r w:rsidR="00F43F10" w:rsidRPr="000A6875">
        <w:t xml:space="preserve"> </w:t>
      </w:r>
      <w:r w:rsidR="00EE0C68" w:rsidRPr="000A6875">
        <w:t xml:space="preserve">adopted by an MEPC </w:t>
      </w:r>
      <w:r w:rsidR="007526F2" w:rsidRPr="000A6875">
        <w:t>resolution,</w:t>
      </w:r>
      <w:r w:rsidR="00EE0C68" w:rsidRPr="000A6875">
        <w:t xml:space="preserve"> </w:t>
      </w:r>
      <w:r w:rsidR="00F43F10" w:rsidRPr="000A6875">
        <w:t xml:space="preserve">which take </w:t>
      </w:r>
      <w:r w:rsidR="007526F2" w:rsidRPr="000A6875">
        <w:t xml:space="preserve">into </w:t>
      </w:r>
      <w:r w:rsidR="00F43F10" w:rsidRPr="000A6875">
        <w:t>account the LCA Guidelines</w:t>
      </w:r>
      <w:r w:rsidR="00092094" w:rsidRPr="000A6875">
        <w:t xml:space="preserve"> as may be amended</w:t>
      </w:r>
      <w:r w:rsidR="00411062" w:rsidRPr="000A6875">
        <w:t>. F</w:t>
      </w:r>
      <w:r w:rsidR="00607D1C" w:rsidRPr="000A6875">
        <w:t>or</w:t>
      </w:r>
      <w:r w:rsidR="00CD4D72" w:rsidRPr="000A6875">
        <w:t xml:space="preserve"> </w:t>
      </w:r>
      <w:r w:rsidR="00A52DC4" w:rsidRPr="000A6875">
        <w:t xml:space="preserve">those eligible </w:t>
      </w:r>
      <w:r w:rsidR="006450CB" w:rsidRPr="000A6875">
        <w:t>zero/near</w:t>
      </w:r>
      <w:r w:rsidR="0097205B">
        <w:t>-zero</w:t>
      </w:r>
      <w:r w:rsidR="006450CB" w:rsidRPr="000A6875">
        <w:t xml:space="preserve"> </w:t>
      </w:r>
      <w:r w:rsidR="00C4301A" w:rsidRPr="000A6875">
        <w:t xml:space="preserve">GHG </w:t>
      </w:r>
      <w:r w:rsidR="006450CB" w:rsidRPr="000A6875">
        <w:t>fuel</w:t>
      </w:r>
      <w:r w:rsidR="00C4301A" w:rsidRPr="000A6875">
        <w:t xml:space="preserve">s identified </w:t>
      </w:r>
      <w:r w:rsidR="006318B6" w:rsidRPr="000A6875">
        <w:t>in the Guidelines</w:t>
      </w:r>
      <w:r w:rsidR="003A66F8" w:rsidRPr="000A6875">
        <w:t>,</w:t>
      </w:r>
      <w:r w:rsidR="003063DD" w:rsidRPr="000A6875">
        <w:t xml:space="preserve"> </w:t>
      </w:r>
      <w:r w:rsidR="00C13E97" w:rsidRPr="000A6875">
        <w:t xml:space="preserve">a </w:t>
      </w:r>
      <w:r w:rsidR="00CB47A7" w:rsidRPr="000A6875">
        <w:t xml:space="preserve">reduced </w:t>
      </w:r>
      <w:r w:rsidR="00C13E97" w:rsidRPr="000A6875">
        <w:t xml:space="preserve">contribution </w:t>
      </w:r>
      <w:r w:rsidR="00832C90" w:rsidRPr="000A6875">
        <w:t xml:space="preserve">rate </w:t>
      </w:r>
      <w:r w:rsidR="002A3589" w:rsidRPr="000A6875">
        <w:t>pe</w:t>
      </w:r>
      <w:r w:rsidR="003C1A24" w:rsidRPr="000A6875">
        <w:t xml:space="preserve">r tonne of fuel consumed </w:t>
      </w:r>
      <w:r w:rsidR="001837D3" w:rsidRPr="000A6875">
        <w:t xml:space="preserve">would be specified </w:t>
      </w:r>
      <w:r w:rsidR="003C1A24" w:rsidRPr="000A6875">
        <w:t xml:space="preserve">to take </w:t>
      </w:r>
      <w:r w:rsidR="003063DD" w:rsidRPr="000A6875">
        <w:t>account of life-cycle emissions</w:t>
      </w:r>
      <w:r w:rsidR="000D4DAC" w:rsidRPr="000A6875">
        <w:t xml:space="preserve"> </w:t>
      </w:r>
      <w:r w:rsidR="004043A2" w:rsidRPr="000A6875">
        <w:t>(draft Guidelines are set out in Annex 3 of this document)</w:t>
      </w:r>
      <w:r w:rsidR="000D4DAC" w:rsidRPr="000A6875">
        <w:t>.</w:t>
      </w:r>
    </w:p>
    <w:p w14:paraId="667DE3E1" w14:textId="12D99251" w:rsidR="00A61E5F" w:rsidRPr="000A6875" w:rsidRDefault="00060001" w:rsidP="006B337E">
      <w:pPr>
        <w:tabs>
          <w:tab w:val="clear" w:pos="851"/>
        </w:tabs>
      </w:pPr>
      <w:r w:rsidRPr="000A6875">
        <w:t xml:space="preserve"> </w:t>
      </w:r>
    </w:p>
    <w:p w14:paraId="04984063" w14:textId="5A4CFF1A" w:rsidR="00AD5C74" w:rsidRPr="000A6875" w:rsidRDefault="005D0B49" w:rsidP="006B337E">
      <w:pPr>
        <w:tabs>
          <w:tab w:val="clear" w:pos="851"/>
        </w:tabs>
      </w:pPr>
      <w:r w:rsidRPr="000A6875">
        <w:t>63</w:t>
      </w:r>
      <w:r w:rsidR="000947ED" w:rsidRPr="000A6875">
        <w:tab/>
      </w:r>
      <w:r w:rsidR="00957879" w:rsidRPr="000A6875">
        <w:t xml:space="preserve">Whilst life-cycle emissions should be taken into account when setting the contribution rate for different fuels, </w:t>
      </w:r>
      <w:r w:rsidR="00E1409A">
        <w:t xml:space="preserve">the co-sponsors </w:t>
      </w:r>
      <w:r w:rsidR="00177505" w:rsidRPr="000A6875">
        <w:t>consider</w:t>
      </w:r>
      <w:r w:rsidR="00A3676F">
        <w:t>, as a matter of principle,</w:t>
      </w:r>
      <w:r w:rsidR="00177505" w:rsidRPr="000A6875">
        <w:t xml:space="preserve"> </w:t>
      </w:r>
      <w:r w:rsidR="00082657">
        <w:t xml:space="preserve">that </w:t>
      </w:r>
      <w:r w:rsidR="00177505" w:rsidRPr="000A6875">
        <w:t xml:space="preserve">it would be inappropriate for ships to be ‘charged’ for </w:t>
      </w:r>
      <w:r w:rsidR="00370A04" w:rsidRPr="000A6875">
        <w:t xml:space="preserve">life-cycle </w:t>
      </w:r>
      <w:r w:rsidR="00177505" w:rsidRPr="000A6875">
        <w:t xml:space="preserve">emissions for which other sectors are responsible, which are addressed by the NDCs of Parties to the UNFCCC Paris Agreement and which may already be subject to ‘carbon pricing’. </w:t>
      </w:r>
      <w:r w:rsidR="00BC09F3" w:rsidRPr="000A6875">
        <w:t xml:space="preserve">Not </w:t>
      </w:r>
      <w:r w:rsidR="00AD5C74" w:rsidRPr="000A6875">
        <w:t xml:space="preserve">stipulating that contributions should be made by ships </w:t>
      </w:r>
      <w:r w:rsidR="00174568" w:rsidRPr="000A6875">
        <w:t>based on</w:t>
      </w:r>
      <w:r w:rsidR="00AD5C74" w:rsidRPr="000A6875">
        <w:t xml:space="preserve"> </w:t>
      </w:r>
      <w:r w:rsidR="009913B2" w:rsidRPr="000A6875">
        <w:t>life</w:t>
      </w:r>
      <w:r w:rsidR="009B4AAC" w:rsidRPr="000A6875">
        <w:t>-</w:t>
      </w:r>
      <w:r w:rsidR="009913B2" w:rsidRPr="000A6875">
        <w:t xml:space="preserve">cycle </w:t>
      </w:r>
      <w:r w:rsidR="00AD5C74" w:rsidRPr="000A6875">
        <w:t xml:space="preserve">emissions would </w:t>
      </w:r>
      <w:r w:rsidR="0050515B" w:rsidRPr="000A6875">
        <w:t xml:space="preserve">still </w:t>
      </w:r>
      <w:r w:rsidR="00AD5C74" w:rsidRPr="000A6875">
        <w:t>be compatible, as required by the 2023 IMO GHG Strategy, “with reducing GHG emissions within the boundaries of the energy system of international shipping and preventing a shift of emissions to other sectors”.</w:t>
      </w:r>
    </w:p>
    <w:p w14:paraId="6BE09055" w14:textId="77777777" w:rsidR="00AD5C74" w:rsidRPr="000A6875" w:rsidRDefault="00AD5C74" w:rsidP="006B337E">
      <w:pPr>
        <w:tabs>
          <w:tab w:val="clear" w:pos="851"/>
        </w:tabs>
      </w:pPr>
    </w:p>
    <w:p w14:paraId="43BEF840" w14:textId="6D16C43F" w:rsidR="00661FB9" w:rsidRPr="000A6875" w:rsidRDefault="005D0B49" w:rsidP="006B337E">
      <w:pPr>
        <w:tabs>
          <w:tab w:val="clear" w:pos="851"/>
        </w:tabs>
      </w:pPr>
      <w:r w:rsidRPr="000A6875">
        <w:t>64</w:t>
      </w:r>
      <w:r w:rsidR="0099428E" w:rsidRPr="000A6875">
        <w:t xml:space="preserve"> </w:t>
      </w:r>
      <w:r w:rsidR="0099428E" w:rsidRPr="000A6875">
        <w:tab/>
      </w:r>
      <w:r w:rsidR="006759B1" w:rsidRPr="000A6875">
        <w:t>It should be noted that w</w:t>
      </w:r>
      <w:r w:rsidR="009B59D9" w:rsidRPr="000A6875">
        <w:t xml:space="preserve">hether or not </w:t>
      </w:r>
      <w:r w:rsidR="00A55652" w:rsidRPr="000A6875">
        <w:t xml:space="preserve">life-cycle </w:t>
      </w:r>
      <w:r w:rsidR="00B962E4" w:rsidRPr="000A6875">
        <w:t>emissions</w:t>
      </w:r>
      <w:r w:rsidR="00A55652" w:rsidRPr="000A6875">
        <w:t xml:space="preserve"> </w:t>
      </w:r>
      <w:r w:rsidR="0099428E" w:rsidRPr="000A6875">
        <w:t xml:space="preserve">are </w:t>
      </w:r>
      <w:r w:rsidR="00350ACE" w:rsidRPr="000A6875">
        <w:t xml:space="preserve">taken into account </w:t>
      </w:r>
      <w:r w:rsidR="002375C3" w:rsidRPr="000A6875">
        <w:t xml:space="preserve">to determine </w:t>
      </w:r>
      <w:r w:rsidR="00A55652" w:rsidRPr="000A6875">
        <w:t xml:space="preserve">the </w:t>
      </w:r>
      <w:r w:rsidR="00C84C37" w:rsidRPr="000A6875">
        <w:t xml:space="preserve">contribution </w:t>
      </w:r>
      <w:r w:rsidR="000412C4" w:rsidRPr="000A6875">
        <w:t>per tonne of CO</w:t>
      </w:r>
      <w:r w:rsidR="000412C4" w:rsidRPr="000A6875">
        <w:rPr>
          <w:vertAlign w:val="subscript"/>
        </w:rPr>
        <w:t>2</w:t>
      </w:r>
      <w:r w:rsidR="000412C4" w:rsidRPr="000A6875">
        <w:t xml:space="preserve">e emitted by </w:t>
      </w:r>
      <w:r w:rsidR="00B577BE" w:rsidRPr="000A6875">
        <w:t>conventional</w:t>
      </w:r>
      <w:r w:rsidR="00083C4D" w:rsidRPr="000A6875">
        <w:t xml:space="preserve"> liquid fuel oil (which most ships will </w:t>
      </w:r>
      <w:r w:rsidR="001D5E30" w:rsidRPr="000A6875">
        <w:t xml:space="preserve">continue to </w:t>
      </w:r>
      <w:r w:rsidR="00083C4D" w:rsidRPr="000A6875">
        <w:t>us</w:t>
      </w:r>
      <w:r w:rsidR="001D5E30" w:rsidRPr="000A6875">
        <w:t>e</w:t>
      </w:r>
      <w:r w:rsidR="00083C4D" w:rsidRPr="000A6875">
        <w:t xml:space="preserve"> when the measure is initially implemented)</w:t>
      </w:r>
      <w:r w:rsidR="001D5E30" w:rsidRPr="000A6875">
        <w:t xml:space="preserve"> </w:t>
      </w:r>
      <w:r w:rsidR="00AC2675" w:rsidRPr="000A6875">
        <w:t xml:space="preserve">should </w:t>
      </w:r>
      <w:r w:rsidR="0016323C" w:rsidRPr="000A6875">
        <w:t xml:space="preserve">have no </w:t>
      </w:r>
      <w:r w:rsidR="0019560B" w:rsidRPr="000A6875">
        <w:lastRenderedPageBreak/>
        <w:t xml:space="preserve">impact on the total amount of funds that </w:t>
      </w:r>
      <w:r w:rsidR="00DF42E5" w:rsidRPr="000A6875">
        <w:t xml:space="preserve">will </w:t>
      </w:r>
      <w:r w:rsidR="0019560B" w:rsidRPr="000A6875">
        <w:t>be generated</w:t>
      </w:r>
      <w:r w:rsidR="00350ACE" w:rsidRPr="000A6875">
        <w:t xml:space="preserve"> for the ZESF</w:t>
      </w:r>
      <w:r w:rsidR="00966256" w:rsidRPr="000A6875">
        <w:t xml:space="preserve"> </w:t>
      </w:r>
      <w:r w:rsidR="001D2DE7" w:rsidRPr="000A6875">
        <w:t>(</w:t>
      </w:r>
      <w:r w:rsidR="00966256" w:rsidRPr="000A6875">
        <w:t>or the economic impact on States</w:t>
      </w:r>
      <w:r w:rsidR="001D2DE7" w:rsidRPr="000A6875">
        <w:t>)</w:t>
      </w:r>
      <w:r w:rsidR="00966256" w:rsidRPr="000A6875">
        <w:t>.</w:t>
      </w:r>
      <w:r w:rsidR="0019560B" w:rsidRPr="000A6875">
        <w:t xml:space="preserve"> </w:t>
      </w:r>
    </w:p>
    <w:p w14:paraId="22BDB065" w14:textId="77777777" w:rsidR="00661FB9" w:rsidRPr="000A6875" w:rsidRDefault="00661FB9" w:rsidP="006B337E">
      <w:pPr>
        <w:tabs>
          <w:tab w:val="clear" w:pos="851"/>
        </w:tabs>
      </w:pPr>
    </w:p>
    <w:p w14:paraId="02D37223" w14:textId="758C0B55" w:rsidR="003B4E99" w:rsidRPr="000A6875" w:rsidRDefault="00661FB9" w:rsidP="006B337E">
      <w:pPr>
        <w:tabs>
          <w:tab w:val="clear" w:pos="851"/>
        </w:tabs>
      </w:pPr>
      <w:r w:rsidRPr="000A6875">
        <w:t>65</w:t>
      </w:r>
      <w:r w:rsidRPr="000A6875">
        <w:tab/>
        <w:t>To explain, i</w:t>
      </w:r>
      <w:r w:rsidR="00EA4734" w:rsidRPr="000A6875">
        <w:t>f</w:t>
      </w:r>
      <w:r w:rsidR="00092FA0" w:rsidRPr="000A6875">
        <w:t xml:space="preserve"> </w:t>
      </w:r>
      <w:r w:rsidR="002233E9" w:rsidRPr="000A6875">
        <w:t>the LCA Guideline</w:t>
      </w:r>
      <w:r w:rsidR="00A1082F" w:rsidRPr="000A6875">
        <w:t>s</w:t>
      </w:r>
      <w:r w:rsidR="002233E9" w:rsidRPr="000A6875">
        <w:t xml:space="preserve"> determine </w:t>
      </w:r>
      <w:r w:rsidR="00A1082F" w:rsidRPr="000A6875">
        <w:t xml:space="preserve">that </w:t>
      </w:r>
      <w:r w:rsidR="002233E9" w:rsidRPr="000A6875">
        <w:t>the</w:t>
      </w:r>
      <w:r w:rsidR="00092FA0" w:rsidRPr="000A6875">
        <w:t xml:space="preserve"> conversion factor for </w:t>
      </w:r>
      <w:r w:rsidR="005214B3" w:rsidRPr="000A6875">
        <w:t>CO</w:t>
      </w:r>
      <w:r w:rsidR="005214B3" w:rsidRPr="000A6875">
        <w:rPr>
          <w:vertAlign w:val="subscript"/>
        </w:rPr>
        <w:t>2</w:t>
      </w:r>
      <w:r w:rsidR="00AA5B9C" w:rsidRPr="000A6875">
        <w:t>e</w:t>
      </w:r>
      <w:r w:rsidR="005214B3" w:rsidRPr="000A6875">
        <w:t xml:space="preserve"> emissions from combusting </w:t>
      </w:r>
      <w:r w:rsidR="00092FA0" w:rsidRPr="000A6875">
        <w:t xml:space="preserve">conventional </w:t>
      </w:r>
      <w:r w:rsidR="00CD7316" w:rsidRPr="000A6875">
        <w:t xml:space="preserve">liquid fuel oil </w:t>
      </w:r>
      <w:r w:rsidR="002628AA">
        <w:t xml:space="preserve">(based on diesel/gas oil) </w:t>
      </w:r>
      <w:r w:rsidR="00CD7316" w:rsidRPr="000A6875">
        <w:t>is 3.2</w:t>
      </w:r>
      <w:r w:rsidR="002E58DC" w:rsidRPr="000A6875">
        <w:t>, and the CIA determines that a contribution quantum</w:t>
      </w:r>
      <w:r w:rsidR="007207B6" w:rsidRPr="000A6875">
        <w:t xml:space="preserve"> </w:t>
      </w:r>
      <w:r w:rsidR="00EC25A6" w:rsidRPr="000A6875">
        <w:t>equivalent</w:t>
      </w:r>
      <w:r w:rsidR="007207B6" w:rsidRPr="000A6875">
        <w:t xml:space="preserve">, </w:t>
      </w:r>
      <w:r w:rsidR="008F21F4" w:rsidRPr="000A6875">
        <w:t>for example</w:t>
      </w:r>
      <w:r w:rsidR="00EF4EC6" w:rsidRPr="000A6875">
        <w:t>,</w:t>
      </w:r>
      <w:r w:rsidR="007207B6" w:rsidRPr="000A6875">
        <w:t xml:space="preserve"> </w:t>
      </w:r>
      <w:r w:rsidR="00055D7C" w:rsidRPr="000A6875">
        <w:t xml:space="preserve">to </w:t>
      </w:r>
      <w:r w:rsidR="009C3693" w:rsidRPr="000A6875">
        <w:t>US$100</w:t>
      </w:r>
      <w:r w:rsidR="002E58DC" w:rsidRPr="000A6875">
        <w:t xml:space="preserve"> </w:t>
      </w:r>
      <w:r w:rsidR="009C3693" w:rsidRPr="000A6875">
        <w:t>per to</w:t>
      </w:r>
      <w:r w:rsidR="00EF4EC6" w:rsidRPr="000A6875">
        <w:t>nne of fuel</w:t>
      </w:r>
      <w:r w:rsidR="009C3693" w:rsidRPr="000A6875">
        <w:t xml:space="preserve"> </w:t>
      </w:r>
      <w:r w:rsidR="00D302B8" w:rsidRPr="000A6875">
        <w:t xml:space="preserve">oil </w:t>
      </w:r>
      <w:r w:rsidR="009C3693" w:rsidRPr="000A6875">
        <w:t xml:space="preserve">would </w:t>
      </w:r>
      <w:r w:rsidR="00055D7C" w:rsidRPr="000A6875">
        <w:t>n</w:t>
      </w:r>
      <w:r w:rsidR="00BD586D" w:rsidRPr="000A6875">
        <w:t>ot</w:t>
      </w:r>
      <w:r w:rsidR="00055D7C" w:rsidRPr="000A6875">
        <w:t xml:space="preserve"> have </w:t>
      </w:r>
      <w:r w:rsidR="00BD586D" w:rsidRPr="000A6875">
        <w:t xml:space="preserve">any </w:t>
      </w:r>
      <w:r w:rsidR="00660FCF" w:rsidRPr="000A6875">
        <w:t>disproportionately</w:t>
      </w:r>
      <w:r w:rsidR="00055D7C" w:rsidRPr="000A6875">
        <w:t xml:space="preserve"> </w:t>
      </w:r>
      <w:r w:rsidR="00660FCF" w:rsidRPr="000A6875">
        <w:t xml:space="preserve">negative </w:t>
      </w:r>
      <w:r w:rsidR="009C3693" w:rsidRPr="000A6875">
        <w:t xml:space="preserve">impacts of </w:t>
      </w:r>
      <w:r w:rsidR="00530B1C" w:rsidRPr="000A6875">
        <w:t>S</w:t>
      </w:r>
      <w:r w:rsidR="009C3693" w:rsidRPr="000A6875">
        <w:t>tates</w:t>
      </w:r>
      <w:r w:rsidR="000D5ADD" w:rsidRPr="000A6875">
        <w:t xml:space="preserve"> and </w:t>
      </w:r>
      <w:r w:rsidR="00B6049F" w:rsidRPr="000A6875">
        <w:t xml:space="preserve">might therefore </w:t>
      </w:r>
      <w:r w:rsidR="000D5ADD" w:rsidRPr="000A6875">
        <w:t>be politically acceptable</w:t>
      </w:r>
      <w:r w:rsidR="006621A9" w:rsidRPr="000A6875">
        <w:t xml:space="preserve">, </w:t>
      </w:r>
      <w:r w:rsidR="00DF42E5" w:rsidRPr="000A6875">
        <w:t xml:space="preserve">then </w:t>
      </w:r>
      <w:r w:rsidR="006621A9" w:rsidRPr="000A6875">
        <w:t>the contribution</w:t>
      </w:r>
      <w:r w:rsidR="00B204DA" w:rsidRPr="000A6875">
        <w:t xml:space="preserve"> rate</w:t>
      </w:r>
      <w:r w:rsidR="006621A9" w:rsidRPr="000A6875">
        <w:t xml:space="preserve"> </w:t>
      </w:r>
      <w:r w:rsidR="006C671C" w:rsidRPr="000A6875">
        <w:t xml:space="preserve">in the regulation </w:t>
      </w:r>
      <w:r w:rsidR="00995089" w:rsidRPr="000A6875">
        <w:t>c</w:t>
      </w:r>
      <w:r w:rsidR="006621A9" w:rsidRPr="000A6875">
        <w:t xml:space="preserve">ould be set at about </w:t>
      </w:r>
      <w:r w:rsidR="00F0516A" w:rsidRPr="000A6875">
        <w:t>US$31 per tonne of CO</w:t>
      </w:r>
      <w:r w:rsidR="00F0516A" w:rsidRPr="000A6875">
        <w:rPr>
          <w:vertAlign w:val="subscript"/>
        </w:rPr>
        <w:t>2</w:t>
      </w:r>
      <w:r w:rsidR="00F0516A" w:rsidRPr="000A6875">
        <w:t>e</w:t>
      </w:r>
      <w:r w:rsidR="001D105A" w:rsidRPr="000A6875">
        <w:t xml:space="preserve"> emit</w:t>
      </w:r>
      <w:r w:rsidR="005A6272" w:rsidRPr="000A6875">
        <w:t>t</w:t>
      </w:r>
      <w:r w:rsidR="001D105A" w:rsidRPr="000A6875">
        <w:t>ed</w:t>
      </w:r>
      <w:r w:rsidR="00A55652" w:rsidRPr="000A6875">
        <w:t>.</w:t>
      </w:r>
      <w:r w:rsidR="00DE17C8" w:rsidRPr="000A6875">
        <w:t xml:space="preserve"> If</w:t>
      </w:r>
      <w:r w:rsidR="005C6E04" w:rsidRPr="000A6875">
        <w:t xml:space="preserve">, </w:t>
      </w:r>
      <w:r w:rsidR="00F12733" w:rsidRPr="000A6875">
        <w:t xml:space="preserve">notwithstanding concerns about </w:t>
      </w:r>
      <w:r w:rsidR="00D707EA" w:rsidRPr="000A6875">
        <w:t>“</w:t>
      </w:r>
      <w:r w:rsidR="00F12733" w:rsidRPr="000A6875">
        <w:t>charging</w:t>
      </w:r>
      <w:r w:rsidR="00D707EA" w:rsidRPr="000A6875">
        <w:t>”</w:t>
      </w:r>
      <w:r w:rsidR="00F12733" w:rsidRPr="000A6875">
        <w:t xml:space="preserve"> </w:t>
      </w:r>
      <w:r w:rsidR="00D707EA" w:rsidRPr="000A6875">
        <w:t xml:space="preserve">ships </w:t>
      </w:r>
      <w:r w:rsidR="00F12733" w:rsidRPr="000A6875">
        <w:t xml:space="preserve">for </w:t>
      </w:r>
      <w:r w:rsidR="00B6220F" w:rsidRPr="000A6875">
        <w:t>life-cycle emissions</w:t>
      </w:r>
      <w:r w:rsidR="007D6D2B" w:rsidRPr="000A6875">
        <w:t>,</w:t>
      </w:r>
      <w:r w:rsidR="00F12733" w:rsidRPr="000A6875">
        <w:t xml:space="preserve"> </w:t>
      </w:r>
      <w:r w:rsidR="00F70399" w:rsidRPr="000A6875">
        <w:t xml:space="preserve">it was </w:t>
      </w:r>
      <w:r w:rsidR="007D72BB" w:rsidRPr="000A6875">
        <w:t>ne</w:t>
      </w:r>
      <w:r w:rsidR="008C1036" w:rsidRPr="000A6875">
        <w:t>verthe</w:t>
      </w:r>
      <w:r w:rsidR="007D72BB" w:rsidRPr="000A6875">
        <w:t xml:space="preserve">less </w:t>
      </w:r>
      <w:r w:rsidR="00F70399" w:rsidRPr="000A6875">
        <w:t xml:space="preserve">decided that </w:t>
      </w:r>
      <w:r w:rsidR="00A55652" w:rsidRPr="000A6875">
        <w:t xml:space="preserve">life-cycle emissions </w:t>
      </w:r>
      <w:r w:rsidR="00361DF8" w:rsidRPr="000A6875">
        <w:t xml:space="preserve">for conventional liquid fuel oil </w:t>
      </w:r>
      <w:r w:rsidR="0013360F" w:rsidRPr="000A6875">
        <w:t>should</w:t>
      </w:r>
      <w:r w:rsidR="00227EBF" w:rsidRPr="000A6875">
        <w:t xml:space="preserve"> </w:t>
      </w:r>
      <w:r w:rsidR="00433A74" w:rsidRPr="000A6875">
        <w:t xml:space="preserve">be </w:t>
      </w:r>
      <w:r w:rsidR="00227EBF" w:rsidRPr="000A6875">
        <w:t>taken in</w:t>
      </w:r>
      <w:r w:rsidR="00D25F41" w:rsidRPr="000A6875">
        <w:t>to</w:t>
      </w:r>
      <w:r w:rsidR="00227EBF" w:rsidRPr="000A6875">
        <w:t xml:space="preserve"> account</w:t>
      </w:r>
      <w:r w:rsidR="00AE6CCF" w:rsidRPr="000A6875">
        <w:t xml:space="preserve"> when setting the contribution </w:t>
      </w:r>
      <w:r w:rsidR="00D707EA" w:rsidRPr="000A6875">
        <w:t>rate</w:t>
      </w:r>
      <w:r w:rsidR="00AE304B">
        <w:t>,</w:t>
      </w:r>
      <w:r w:rsidR="00D707EA" w:rsidRPr="000A6875">
        <w:t xml:space="preserve"> </w:t>
      </w:r>
      <w:r w:rsidR="00885370" w:rsidRPr="000A6875">
        <w:t>and the CO</w:t>
      </w:r>
      <w:r w:rsidR="00885370" w:rsidRPr="000A6875">
        <w:rPr>
          <w:vertAlign w:val="subscript"/>
        </w:rPr>
        <w:t>2</w:t>
      </w:r>
      <w:r w:rsidR="00885370" w:rsidRPr="000A6875">
        <w:t xml:space="preserve">e </w:t>
      </w:r>
      <w:r w:rsidR="00901D9C" w:rsidRPr="000A6875">
        <w:t xml:space="preserve">conversion </w:t>
      </w:r>
      <w:r w:rsidR="00885370" w:rsidRPr="000A6875">
        <w:t xml:space="preserve">factor </w:t>
      </w:r>
      <w:r w:rsidR="00911C03" w:rsidRPr="000A6875">
        <w:t xml:space="preserve">on a life-cycle basis was determined </w:t>
      </w:r>
      <w:r w:rsidR="0034218D" w:rsidRPr="000A6875">
        <w:t xml:space="preserve">by the LCA Guidelines </w:t>
      </w:r>
      <w:r w:rsidR="00911C03" w:rsidRPr="000A6875">
        <w:t>to be</w:t>
      </w:r>
      <w:r w:rsidR="000A33DC" w:rsidRPr="000A6875">
        <w:t xml:space="preserve"> </w:t>
      </w:r>
      <w:r w:rsidR="00885370" w:rsidRPr="000A6875">
        <w:t>4.0</w:t>
      </w:r>
      <w:r w:rsidR="00A1465D" w:rsidRPr="000A6875">
        <w:t>,</w:t>
      </w:r>
      <w:r w:rsidR="00885370" w:rsidRPr="000A6875">
        <w:t xml:space="preserve"> </w:t>
      </w:r>
      <w:r w:rsidR="00A55652" w:rsidRPr="000A6875">
        <w:t>then the contribution rate</w:t>
      </w:r>
      <w:r w:rsidR="00F85331" w:rsidRPr="000A6875">
        <w:t xml:space="preserve"> </w:t>
      </w:r>
      <w:r w:rsidR="0048774B" w:rsidRPr="000A6875">
        <w:t>(</w:t>
      </w:r>
      <w:r w:rsidR="004E59B5" w:rsidRPr="000A6875">
        <w:t xml:space="preserve">so </w:t>
      </w:r>
      <w:r w:rsidR="00F85331" w:rsidRPr="000A6875">
        <w:t xml:space="preserve">that </w:t>
      </w:r>
      <w:r w:rsidR="004E59B5" w:rsidRPr="000A6875">
        <w:t xml:space="preserve">it would </w:t>
      </w:r>
      <w:r w:rsidR="0067408F" w:rsidRPr="000A6875">
        <w:t xml:space="preserve">still </w:t>
      </w:r>
      <w:r w:rsidR="004E59B5" w:rsidRPr="000A6875">
        <w:t>be equivalent to U</w:t>
      </w:r>
      <w:r w:rsidR="00E63C09" w:rsidRPr="000A6875">
        <w:t>S$100 per tonne</w:t>
      </w:r>
      <w:r w:rsidR="0067408F" w:rsidRPr="000A6875">
        <w:t xml:space="preserve"> of fuel oil consumed</w:t>
      </w:r>
      <w:r w:rsidR="0048774B" w:rsidRPr="000A6875">
        <w:t xml:space="preserve">) </w:t>
      </w:r>
      <w:r w:rsidR="006478DD" w:rsidRPr="000A6875">
        <w:t>w</w:t>
      </w:r>
      <w:r w:rsidR="00A55652" w:rsidRPr="000A6875">
        <w:t xml:space="preserve">ould </w:t>
      </w:r>
      <w:r w:rsidR="008E14E4" w:rsidRPr="000A6875">
        <w:t xml:space="preserve">instead </w:t>
      </w:r>
      <w:r w:rsidR="00A55652" w:rsidRPr="000A6875">
        <w:t>be set at about</w:t>
      </w:r>
      <w:r w:rsidR="00170928" w:rsidRPr="000A6875">
        <w:t xml:space="preserve"> US$25</w:t>
      </w:r>
      <w:r w:rsidR="00E63C09" w:rsidRPr="000A6875">
        <w:t xml:space="preserve"> per tonne of CO</w:t>
      </w:r>
      <w:r w:rsidR="00E63C09" w:rsidRPr="000A6875">
        <w:rPr>
          <w:vertAlign w:val="subscript"/>
        </w:rPr>
        <w:t>2</w:t>
      </w:r>
      <w:r w:rsidR="00E63C09" w:rsidRPr="000A6875">
        <w:t>e</w:t>
      </w:r>
      <w:r w:rsidR="001D105A" w:rsidRPr="000A6875">
        <w:t>.</w:t>
      </w:r>
      <w:r w:rsidR="00E63C09" w:rsidRPr="000A6875">
        <w:t xml:space="preserve"> </w:t>
      </w:r>
      <w:r w:rsidR="00937029" w:rsidRPr="000A6875">
        <w:t>R</w:t>
      </w:r>
      <w:r w:rsidR="00D43E04" w:rsidRPr="000A6875">
        <w:t>egardless of whether or not life-cycle emissions are taken into account</w:t>
      </w:r>
      <w:r w:rsidR="00F12DA3" w:rsidRPr="000A6875">
        <w:t>,</w:t>
      </w:r>
      <w:r w:rsidR="00A4319F" w:rsidRPr="000A6875">
        <w:t xml:space="preserve"> </w:t>
      </w:r>
      <w:r w:rsidR="00F07F77" w:rsidRPr="000A6875">
        <w:t xml:space="preserve">and whether </w:t>
      </w:r>
      <w:r w:rsidR="00022E3F" w:rsidRPr="000A6875">
        <w:t xml:space="preserve">the </w:t>
      </w:r>
      <w:r w:rsidR="00FE0597" w:rsidRPr="000A6875">
        <w:t xml:space="preserve">conversion factor </w:t>
      </w:r>
      <w:r w:rsidR="00F07F77" w:rsidRPr="000A6875">
        <w:t xml:space="preserve">used was </w:t>
      </w:r>
      <w:r w:rsidR="00FE0597" w:rsidRPr="000A6875">
        <w:t xml:space="preserve">of </w:t>
      </w:r>
      <w:r w:rsidR="00F07F77" w:rsidRPr="000A6875">
        <w:t>3.2 or 4.0</w:t>
      </w:r>
      <w:r w:rsidR="00A95633" w:rsidRPr="000A6875">
        <w:t xml:space="preserve">, both rates </w:t>
      </w:r>
      <w:r w:rsidR="00492F0F">
        <w:t xml:space="preserve">in this case </w:t>
      </w:r>
      <w:r w:rsidR="00657B63" w:rsidRPr="000A6875">
        <w:t xml:space="preserve">would </w:t>
      </w:r>
      <w:r w:rsidR="002B1A03" w:rsidRPr="000A6875">
        <w:t xml:space="preserve">still </w:t>
      </w:r>
      <w:r w:rsidR="001B5EC3" w:rsidRPr="000A6875">
        <w:t>be equivalent to US</w:t>
      </w:r>
      <w:r w:rsidR="00010793" w:rsidRPr="000A6875">
        <w:t>$</w:t>
      </w:r>
      <w:r w:rsidR="001B5EC3" w:rsidRPr="000A6875">
        <w:t>100</w:t>
      </w:r>
      <w:r w:rsidR="00010793" w:rsidRPr="000A6875">
        <w:t xml:space="preserve"> per tonne </w:t>
      </w:r>
      <w:r w:rsidR="00A4319F" w:rsidRPr="000A6875">
        <w:t xml:space="preserve">of </w:t>
      </w:r>
      <w:r w:rsidR="00010793" w:rsidRPr="000A6875">
        <w:t>fuel</w:t>
      </w:r>
      <w:r w:rsidR="00A4319F" w:rsidRPr="000A6875">
        <w:t xml:space="preserve"> </w:t>
      </w:r>
      <w:r w:rsidR="00A1465D" w:rsidRPr="000A6875">
        <w:t xml:space="preserve">oil </w:t>
      </w:r>
      <w:r w:rsidR="00A4319F" w:rsidRPr="000A6875">
        <w:t>consumed</w:t>
      </w:r>
      <w:r w:rsidR="004B2A84" w:rsidRPr="000A6875">
        <w:t xml:space="preserve"> and</w:t>
      </w:r>
      <w:r w:rsidR="00AA40C9" w:rsidRPr="000A6875">
        <w:t xml:space="preserve"> </w:t>
      </w:r>
      <w:r w:rsidR="00A52DC4" w:rsidRPr="000A6875">
        <w:t xml:space="preserve">so </w:t>
      </w:r>
      <w:r w:rsidR="004B2A84" w:rsidRPr="000A6875">
        <w:t>would generate the same amount of funds</w:t>
      </w:r>
      <w:r w:rsidR="008E14E4" w:rsidRPr="000A6875">
        <w:t xml:space="preserve"> for the ZESF</w:t>
      </w:r>
      <w:r w:rsidR="000B45BB" w:rsidRPr="000A6875">
        <w:t xml:space="preserve"> and its purposes, including support for developing countries.</w:t>
      </w:r>
      <w:r w:rsidR="008C4D8A" w:rsidRPr="000A6875">
        <w:t xml:space="preserve"> </w:t>
      </w:r>
    </w:p>
    <w:p w14:paraId="43689EBC" w14:textId="77777777" w:rsidR="00A4319F" w:rsidRPr="000A6875" w:rsidRDefault="00A4319F" w:rsidP="006B337E">
      <w:pPr>
        <w:tabs>
          <w:tab w:val="clear" w:pos="851"/>
        </w:tabs>
      </w:pPr>
    </w:p>
    <w:p w14:paraId="01E55628" w14:textId="052072B3" w:rsidR="00FA28FB" w:rsidRPr="000A6875" w:rsidRDefault="005D0B49" w:rsidP="006B337E">
      <w:pPr>
        <w:tabs>
          <w:tab w:val="clear" w:pos="851"/>
        </w:tabs>
      </w:pPr>
      <w:r w:rsidRPr="000A6875">
        <w:t>6</w:t>
      </w:r>
      <w:r w:rsidR="007F22CD" w:rsidRPr="000A6875">
        <w:t>6</w:t>
      </w:r>
      <w:r w:rsidR="00A4319F" w:rsidRPr="000A6875">
        <w:t xml:space="preserve"> </w:t>
      </w:r>
      <w:r w:rsidR="00A4319F" w:rsidRPr="000A6875">
        <w:tab/>
        <w:t>With regard to the reward rate for the CO</w:t>
      </w:r>
      <w:r w:rsidR="00A4319F" w:rsidRPr="000A6875">
        <w:rPr>
          <w:vertAlign w:val="subscript"/>
        </w:rPr>
        <w:t>2</w:t>
      </w:r>
      <w:r w:rsidR="00A4319F" w:rsidRPr="000A6875">
        <w:t xml:space="preserve">e </w:t>
      </w:r>
      <w:r w:rsidR="005E12A1" w:rsidRPr="000A6875">
        <w:t>emission</w:t>
      </w:r>
      <w:r w:rsidR="00612336" w:rsidRPr="000A6875">
        <w:t>s</w:t>
      </w:r>
      <w:r w:rsidR="005E12A1" w:rsidRPr="000A6875">
        <w:t xml:space="preserve"> prevented by use of eligible </w:t>
      </w:r>
      <w:r w:rsidR="00822409" w:rsidRPr="000A6875">
        <w:t xml:space="preserve">zero/near-zero GHG fuels, </w:t>
      </w:r>
      <w:r w:rsidR="00A4319F" w:rsidRPr="000A6875">
        <w:t>there may be a case for</w:t>
      </w:r>
      <w:r w:rsidR="00E258EF" w:rsidRPr="000A6875">
        <w:t xml:space="preserve"> </w:t>
      </w:r>
      <w:r w:rsidR="00822409" w:rsidRPr="000A6875">
        <w:t xml:space="preserve">calculating these on a </w:t>
      </w:r>
      <w:r w:rsidR="00361DF8" w:rsidRPr="000A6875">
        <w:t xml:space="preserve">life-cycle </w:t>
      </w:r>
      <w:r w:rsidR="00390AF0" w:rsidRPr="000A6875">
        <w:t xml:space="preserve">basis, so that, for example, </w:t>
      </w:r>
      <w:r w:rsidR="00201CF0" w:rsidRPr="000A6875">
        <w:t>“</w:t>
      </w:r>
      <w:r w:rsidR="00390AF0" w:rsidRPr="000A6875">
        <w:t>green</w:t>
      </w:r>
      <w:r w:rsidR="00201CF0" w:rsidRPr="000A6875">
        <w:t>”</w:t>
      </w:r>
      <w:r w:rsidR="00390AF0" w:rsidRPr="000A6875">
        <w:t xml:space="preserve"> </w:t>
      </w:r>
      <w:r w:rsidR="00201CF0" w:rsidRPr="000A6875">
        <w:t xml:space="preserve">versions of </w:t>
      </w:r>
      <w:r w:rsidR="007526F2" w:rsidRPr="000A6875">
        <w:t xml:space="preserve">an eligible </w:t>
      </w:r>
      <w:r w:rsidR="00390AF0" w:rsidRPr="000A6875">
        <w:t xml:space="preserve">fuel </w:t>
      </w:r>
      <w:r w:rsidR="002923D9" w:rsidRPr="000A6875">
        <w:t xml:space="preserve">receive a </w:t>
      </w:r>
      <w:r w:rsidR="007F06C8" w:rsidRPr="000A6875">
        <w:t>larger reward</w:t>
      </w:r>
      <w:r w:rsidR="00EE257F" w:rsidRPr="000A6875">
        <w:t xml:space="preserve">. </w:t>
      </w:r>
      <w:r w:rsidR="005B2DF1" w:rsidRPr="000A6875">
        <w:t xml:space="preserve">However, as with the contribution rate, </w:t>
      </w:r>
      <w:r w:rsidR="00B5405D" w:rsidRPr="000A6875">
        <w:t xml:space="preserve">it is suggested </w:t>
      </w:r>
      <w:r w:rsidR="006045F1" w:rsidRPr="000A6875">
        <w:t xml:space="preserve">that </w:t>
      </w:r>
      <w:r w:rsidR="00B5405D" w:rsidRPr="000A6875">
        <w:t xml:space="preserve">the reward rate </w:t>
      </w:r>
      <w:r w:rsidR="008A1AFA" w:rsidRPr="000A6875">
        <w:t>for different fuel type</w:t>
      </w:r>
      <w:r w:rsidR="00387627" w:rsidRPr="000A6875">
        <w:t>s</w:t>
      </w:r>
      <w:r w:rsidR="008A1AFA" w:rsidRPr="000A6875">
        <w:t xml:space="preserve">, </w:t>
      </w:r>
      <w:r w:rsidR="00FD02BA" w:rsidRPr="000A6875">
        <w:t>per tonne of fuel consumed</w:t>
      </w:r>
      <w:r w:rsidR="008A1AFA" w:rsidRPr="000A6875">
        <w:t xml:space="preserve">, </w:t>
      </w:r>
      <w:r w:rsidR="00911318" w:rsidRPr="000A6875">
        <w:t>should be set out in Guideline</w:t>
      </w:r>
      <w:r w:rsidR="003139A2" w:rsidRPr="000A6875">
        <w:t xml:space="preserve">s adopted by an MEPC </w:t>
      </w:r>
      <w:r w:rsidR="007526F2" w:rsidRPr="000A6875">
        <w:t xml:space="preserve">resolution </w:t>
      </w:r>
      <w:r w:rsidR="003139A2" w:rsidRPr="000A6875">
        <w:t xml:space="preserve">(see annex 3 of </w:t>
      </w:r>
      <w:r w:rsidR="00607D1C" w:rsidRPr="000A6875">
        <w:t xml:space="preserve">this </w:t>
      </w:r>
      <w:r w:rsidR="003139A2" w:rsidRPr="000A6875">
        <w:t>document)</w:t>
      </w:r>
      <w:r w:rsidR="00E80FED" w:rsidRPr="000A6875">
        <w:t>, taking account of the LCA Guidelines</w:t>
      </w:r>
      <w:r w:rsidR="007544FB" w:rsidRPr="000A6875">
        <w:t>, as may be amended.</w:t>
      </w:r>
    </w:p>
    <w:p w14:paraId="435D6FE1" w14:textId="77777777" w:rsidR="00F63657" w:rsidRPr="000A6875" w:rsidRDefault="00F63657" w:rsidP="006B337E">
      <w:pPr>
        <w:tabs>
          <w:tab w:val="clear" w:pos="851"/>
        </w:tabs>
      </w:pPr>
    </w:p>
    <w:p w14:paraId="234ABB55" w14:textId="7A0D70C0" w:rsidR="00F63657" w:rsidRPr="000A6875" w:rsidRDefault="00F63657" w:rsidP="006B337E">
      <w:pPr>
        <w:tabs>
          <w:tab w:val="clear" w:pos="851"/>
        </w:tabs>
        <w:rPr>
          <w:b/>
          <w:bCs/>
        </w:rPr>
      </w:pPr>
      <w:r w:rsidRPr="000A6875">
        <w:rPr>
          <w:b/>
          <w:bCs/>
        </w:rPr>
        <w:t xml:space="preserve">Tonnage Threshold </w:t>
      </w:r>
    </w:p>
    <w:p w14:paraId="44416A6D" w14:textId="77777777" w:rsidR="00F63657" w:rsidRPr="000A6875" w:rsidRDefault="00F63657" w:rsidP="006B337E">
      <w:pPr>
        <w:tabs>
          <w:tab w:val="clear" w:pos="851"/>
        </w:tabs>
        <w:rPr>
          <w:b/>
          <w:bCs/>
        </w:rPr>
      </w:pPr>
    </w:p>
    <w:p w14:paraId="57F8F3DA" w14:textId="002A3677" w:rsidR="007670FA" w:rsidRPr="000A6875" w:rsidRDefault="004926BD" w:rsidP="006B337E">
      <w:pPr>
        <w:tabs>
          <w:tab w:val="clear" w:pos="851"/>
        </w:tabs>
      </w:pPr>
      <w:r w:rsidRPr="000A6875">
        <w:t>6</w:t>
      </w:r>
      <w:r w:rsidR="007F22CD" w:rsidRPr="000A6875">
        <w:t>7</w:t>
      </w:r>
      <w:r w:rsidRPr="000A6875">
        <w:tab/>
      </w:r>
      <w:r w:rsidR="008154AB">
        <w:t>In do</w:t>
      </w:r>
      <w:r w:rsidR="00150CC6">
        <w:t xml:space="preserve">cument </w:t>
      </w:r>
      <w:r w:rsidR="006856B4" w:rsidRPr="000A6875">
        <w:t>ISWG</w:t>
      </w:r>
      <w:r w:rsidR="00B54244" w:rsidRPr="000A6875">
        <w:t>-GHG 16/2</w:t>
      </w:r>
      <w:r w:rsidR="00150CC6">
        <w:t xml:space="preserve">, </w:t>
      </w:r>
      <w:r w:rsidR="000C6E9B" w:rsidRPr="000A6875">
        <w:t>ICS</w:t>
      </w:r>
      <w:r w:rsidR="00A52DC4" w:rsidRPr="000A6875">
        <w:t xml:space="preserve"> and IBIA</w:t>
      </w:r>
      <w:r w:rsidR="00B54244" w:rsidRPr="000A6875">
        <w:t xml:space="preserve"> explain that </w:t>
      </w:r>
      <w:r w:rsidR="00DA018B" w:rsidRPr="000A6875">
        <w:t>because the</w:t>
      </w:r>
      <w:r w:rsidR="00A52DC4" w:rsidRPr="000A6875">
        <w:t xml:space="preserve"> </w:t>
      </w:r>
      <w:r w:rsidR="00DA018B" w:rsidRPr="000A6875">
        <w:t>simplified Global Fuel Standard</w:t>
      </w:r>
      <w:r w:rsidR="00AF7F33" w:rsidRPr="000A6875">
        <w:t xml:space="preserve"> (GFS)</w:t>
      </w:r>
      <w:r w:rsidR="004442E3">
        <w:t xml:space="preserve"> which they propose</w:t>
      </w:r>
      <w:r w:rsidRPr="000A6875">
        <w:t xml:space="preserve">, </w:t>
      </w:r>
      <w:r w:rsidR="00FA0228" w:rsidRPr="000A6875">
        <w:t xml:space="preserve">as set out in </w:t>
      </w:r>
      <w:r w:rsidR="00A52DC4" w:rsidRPr="000A6875">
        <w:t xml:space="preserve">that </w:t>
      </w:r>
      <w:r w:rsidR="00FA0228" w:rsidRPr="000A6875">
        <w:t xml:space="preserve">document </w:t>
      </w:r>
      <w:r w:rsidR="00583521" w:rsidRPr="000A6875">
        <w:t xml:space="preserve">as a </w:t>
      </w:r>
      <w:r w:rsidRPr="000A6875">
        <w:t xml:space="preserve">separate </w:t>
      </w:r>
      <w:r w:rsidR="00583521" w:rsidRPr="000A6875">
        <w:t>technical measure</w:t>
      </w:r>
      <w:r w:rsidRPr="000A6875">
        <w:t>,</w:t>
      </w:r>
      <w:r w:rsidR="00AF7F33" w:rsidRPr="000A6875">
        <w:t xml:space="preserve"> </w:t>
      </w:r>
      <w:r w:rsidR="00FF64BF" w:rsidRPr="000A6875">
        <w:t>does not require use of the Fuel Oil Data Collection System (DCS)</w:t>
      </w:r>
      <w:r w:rsidR="00586610" w:rsidRPr="000A6875">
        <w:t xml:space="preserve">, </w:t>
      </w:r>
      <w:r w:rsidR="002C31A4" w:rsidRPr="000A6875">
        <w:t>this</w:t>
      </w:r>
      <w:r w:rsidR="00B66ACE" w:rsidRPr="000A6875">
        <w:t xml:space="preserve"> makes it</w:t>
      </w:r>
      <w:r w:rsidR="002C31A4" w:rsidRPr="000A6875">
        <w:t xml:space="preserve"> </w:t>
      </w:r>
      <w:r w:rsidR="00B66ACE" w:rsidRPr="000A6875">
        <w:t>possible – should the Committee so decide – to extend the application of the GFS to ships of 400</w:t>
      </w:r>
      <w:r w:rsidR="007D33C5" w:rsidRPr="000A6875">
        <w:t xml:space="preserve"> gross tonnage</w:t>
      </w:r>
      <w:r w:rsidR="00B66ACE" w:rsidRPr="000A6875">
        <w:t xml:space="preserve"> and above, consistent with other provisions for fuel standards under MARPOL Annex VI.</w:t>
      </w:r>
      <w:r w:rsidR="00586610" w:rsidRPr="000A6875">
        <w:t xml:space="preserve"> </w:t>
      </w:r>
      <w:r w:rsidR="00901013" w:rsidRPr="000A6875">
        <w:t xml:space="preserve"> </w:t>
      </w:r>
    </w:p>
    <w:p w14:paraId="021A81A8" w14:textId="15E79E4A" w:rsidR="007670FA" w:rsidRPr="000A6875" w:rsidRDefault="007670FA" w:rsidP="006B337E">
      <w:pPr>
        <w:tabs>
          <w:tab w:val="clear" w:pos="851"/>
        </w:tabs>
      </w:pPr>
    </w:p>
    <w:p w14:paraId="75B3CA81" w14:textId="37462C6C" w:rsidR="00901013" w:rsidRPr="000A6875" w:rsidRDefault="007670FA" w:rsidP="00F64261">
      <w:pPr>
        <w:tabs>
          <w:tab w:val="clear" w:pos="851"/>
        </w:tabs>
      </w:pPr>
      <w:r w:rsidRPr="000A6875">
        <w:t>6</w:t>
      </w:r>
      <w:r w:rsidR="007F22CD" w:rsidRPr="000A6875">
        <w:t>8</w:t>
      </w:r>
      <w:r w:rsidRPr="000A6875">
        <w:tab/>
      </w:r>
      <w:r w:rsidR="00F64261" w:rsidRPr="000A6875">
        <w:t>In</w:t>
      </w:r>
      <w:r w:rsidR="00040B82" w:rsidRPr="000A6875">
        <w:t xml:space="preserve"> </w:t>
      </w:r>
      <w:r w:rsidR="00DF1FBF" w:rsidRPr="000A6875">
        <w:t>principle</w:t>
      </w:r>
      <w:r w:rsidR="00F64261" w:rsidRPr="000A6875">
        <w:t>,</w:t>
      </w:r>
      <w:r w:rsidR="000969BA" w:rsidRPr="000A6875">
        <w:t xml:space="preserve"> </w:t>
      </w:r>
      <w:r w:rsidR="004756EA">
        <w:t>the co-sponsors</w:t>
      </w:r>
      <w:r w:rsidR="00DF1FBF" w:rsidRPr="000A6875">
        <w:t xml:space="preserve"> consider that any maritime GHG pricing mechanism </w:t>
      </w:r>
      <w:r w:rsidR="00DA6DF8" w:rsidRPr="000A6875">
        <w:t xml:space="preserve">adopted </w:t>
      </w:r>
      <w:r w:rsidR="00DF1FBF" w:rsidRPr="000A6875">
        <w:t xml:space="preserve">should </w:t>
      </w:r>
      <w:r w:rsidR="00DA6DF8" w:rsidRPr="000A6875">
        <w:t xml:space="preserve">also </w:t>
      </w:r>
      <w:r w:rsidR="00DF1FBF" w:rsidRPr="000A6875">
        <w:t>apply to ships below 5,000 gross tonnage</w:t>
      </w:r>
      <w:r w:rsidR="00BF54BE" w:rsidRPr="000A6875">
        <w:t>.</w:t>
      </w:r>
      <w:r w:rsidR="00F64261" w:rsidRPr="000A6875">
        <w:t xml:space="preserve"> </w:t>
      </w:r>
      <w:r w:rsidR="00BF54BE" w:rsidRPr="000A6875">
        <w:t xml:space="preserve"> </w:t>
      </w:r>
      <w:r w:rsidR="00F64261" w:rsidRPr="000A6875">
        <w:t>This is due to the potential for this to lead to unfair competition and perverse incentives, for example to construct "paragraph" ships that would not be required to make contributions to the ZESF</w:t>
      </w:r>
      <w:r w:rsidR="000B423B" w:rsidRPr="000A6875">
        <w:t>.</w:t>
      </w:r>
    </w:p>
    <w:p w14:paraId="6AFB4A98" w14:textId="77777777" w:rsidR="00901013" w:rsidRPr="000A6875" w:rsidRDefault="00901013" w:rsidP="006B337E">
      <w:pPr>
        <w:tabs>
          <w:tab w:val="clear" w:pos="851"/>
        </w:tabs>
      </w:pPr>
    </w:p>
    <w:p w14:paraId="33B48D85" w14:textId="18111FA9" w:rsidR="00F63657" w:rsidRPr="000A6875" w:rsidRDefault="000969BA" w:rsidP="006B337E">
      <w:pPr>
        <w:tabs>
          <w:tab w:val="clear" w:pos="851"/>
        </w:tabs>
      </w:pPr>
      <w:r w:rsidRPr="000A6875">
        <w:t>6</w:t>
      </w:r>
      <w:r w:rsidR="007F22CD" w:rsidRPr="000A6875">
        <w:t>9</w:t>
      </w:r>
      <w:r w:rsidRPr="000A6875">
        <w:tab/>
      </w:r>
      <w:r w:rsidR="00BF54BE" w:rsidRPr="000A6875">
        <w:t xml:space="preserve">In the possible draft regulation set out in annex 1 to this document, </w:t>
      </w:r>
      <w:r w:rsidR="00427FA1">
        <w:t xml:space="preserve">the co-sponsors </w:t>
      </w:r>
      <w:r w:rsidR="0084782B" w:rsidRPr="000A6875">
        <w:t>ha</w:t>
      </w:r>
      <w:r w:rsidR="00D841B0">
        <w:t>ve</w:t>
      </w:r>
      <w:r w:rsidR="0084782B" w:rsidRPr="000A6875">
        <w:t xml:space="preserve"> there</w:t>
      </w:r>
      <w:r w:rsidR="002733E7" w:rsidRPr="000A6875">
        <w:t>fore</w:t>
      </w:r>
      <w:r w:rsidR="0084782B" w:rsidRPr="000A6875">
        <w:t xml:space="preserve"> </w:t>
      </w:r>
      <w:r w:rsidR="000B423B" w:rsidRPr="000A6875">
        <w:t xml:space="preserve">now </w:t>
      </w:r>
      <w:r w:rsidR="002733E7" w:rsidRPr="000A6875">
        <w:t>placed</w:t>
      </w:r>
      <w:r w:rsidR="0084782B" w:rsidRPr="000A6875">
        <w:t xml:space="preserve"> the 5,000 gross tonnage threshold in </w:t>
      </w:r>
      <w:r w:rsidR="00037B46" w:rsidRPr="000A6875">
        <w:t>‘square brackets</w:t>
      </w:r>
      <w:r w:rsidR="002733E7" w:rsidRPr="000A6875">
        <w:t>’</w:t>
      </w:r>
      <w:r w:rsidR="00F06C06" w:rsidRPr="000A6875">
        <w:t xml:space="preserve">, given that this issue </w:t>
      </w:r>
      <w:r w:rsidR="003848DB" w:rsidRPr="000A6875">
        <w:t xml:space="preserve">could take on more importance depending on the quantum of the contribution </w:t>
      </w:r>
      <w:r w:rsidR="00BF695C" w:rsidRPr="000A6875">
        <w:t xml:space="preserve">by ships </w:t>
      </w:r>
      <w:r w:rsidR="003848DB" w:rsidRPr="000A6875">
        <w:t>which may finally be agreed</w:t>
      </w:r>
      <w:r w:rsidR="00E842F3" w:rsidRPr="000A6875">
        <w:t xml:space="preserve">. </w:t>
      </w:r>
      <w:r w:rsidR="00FA74CD" w:rsidRPr="000A6875">
        <w:t>However, r</w:t>
      </w:r>
      <w:r w:rsidR="00E842F3" w:rsidRPr="000A6875">
        <w:t>egardless of what m</w:t>
      </w:r>
      <w:r w:rsidR="00036EA2" w:rsidRPr="000A6875">
        <w:t>a</w:t>
      </w:r>
      <w:r w:rsidR="00E842F3" w:rsidRPr="000A6875">
        <w:t>y finally be decided with regard to the tonnage threshold</w:t>
      </w:r>
      <w:r w:rsidR="00036EA2" w:rsidRPr="000A6875">
        <w:t>, it will be important to ensure</w:t>
      </w:r>
      <w:r w:rsidR="00EA0BCD" w:rsidRPr="000A6875">
        <w:t xml:space="preserve"> (</w:t>
      </w:r>
      <w:r w:rsidR="00036EA2" w:rsidRPr="000A6875">
        <w:t xml:space="preserve">as </w:t>
      </w:r>
      <w:r w:rsidR="00AF786A" w:rsidRPr="000A6875">
        <w:t xml:space="preserve">explained </w:t>
      </w:r>
      <w:r w:rsidR="005B0097">
        <w:t xml:space="preserve">in </w:t>
      </w:r>
      <w:r w:rsidR="00272804">
        <w:t xml:space="preserve">paragraph 60 </w:t>
      </w:r>
      <w:r w:rsidR="00AF786A" w:rsidRPr="000A6875">
        <w:t>above</w:t>
      </w:r>
      <w:r w:rsidR="00297CB4">
        <w:t>,</w:t>
      </w:r>
      <w:r w:rsidR="00E17A5B">
        <w:t xml:space="preserve"> </w:t>
      </w:r>
      <w:r w:rsidR="00EA0BCD" w:rsidRPr="000A6875">
        <w:t xml:space="preserve">and as </w:t>
      </w:r>
      <w:r w:rsidR="00036EA2" w:rsidRPr="000A6875">
        <w:t>provided for in the</w:t>
      </w:r>
      <w:r w:rsidR="00AF786A" w:rsidRPr="000A6875">
        <w:t xml:space="preserve"> </w:t>
      </w:r>
      <w:r w:rsidR="00A52DC4" w:rsidRPr="000A6875">
        <w:t xml:space="preserve">possible </w:t>
      </w:r>
      <w:r w:rsidR="00B724C8" w:rsidRPr="000A6875">
        <w:t>draft amendments set out in annex 1 of this document</w:t>
      </w:r>
      <w:r w:rsidR="00EA0BCD" w:rsidRPr="000A6875">
        <w:t>)</w:t>
      </w:r>
      <w:r w:rsidR="00B724C8" w:rsidRPr="000A6875">
        <w:t xml:space="preserve"> that smaller ship</w:t>
      </w:r>
      <w:r w:rsidR="00A653F3" w:rsidRPr="000A6875">
        <w:t>s</w:t>
      </w:r>
      <w:r w:rsidR="00B724C8" w:rsidRPr="000A6875">
        <w:t xml:space="preserve"> </w:t>
      </w:r>
      <w:r w:rsidR="009E06A0" w:rsidRPr="000A6875">
        <w:t>using eligible zero/near-zero GHG fuels</w:t>
      </w:r>
      <w:r w:rsidR="00F91F7C">
        <w:t>, energy sources</w:t>
      </w:r>
      <w:r w:rsidR="004A6CCD">
        <w:t xml:space="preserve"> </w:t>
      </w:r>
      <w:r w:rsidR="00B13D22">
        <w:t>and</w:t>
      </w:r>
      <w:r w:rsidR="004A6CCD">
        <w:t xml:space="preserve"> technologies </w:t>
      </w:r>
      <w:r w:rsidR="00AF786A" w:rsidRPr="000A6875">
        <w:t xml:space="preserve">will be </w:t>
      </w:r>
      <w:r w:rsidR="005D09C6" w:rsidRPr="000A6875">
        <w:t>able to receive</w:t>
      </w:r>
      <w:r w:rsidR="009E06A0" w:rsidRPr="000A6875">
        <w:t xml:space="preserve"> rewards</w:t>
      </w:r>
      <w:r w:rsidR="00A7465F">
        <w:t>, provided that they also make contributions to the ZESF.</w:t>
      </w:r>
      <w:r w:rsidR="00E842F3" w:rsidRPr="000A6875">
        <w:t xml:space="preserve"> </w:t>
      </w:r>
      <w:r w:rsidR="003848DB" w:rsidRPr="000A6875">
        <w:t xml:space="preserve"> </w:t>
      </w:r>
      <w:r w:rsidR="002733E7" w:rsidRPr="000A6875">
        <w:t xml:space="preserve"> </w:t>
      </w:r>
      <w:r w:rsidR="00127C9F" w:rsidRPr="000A6875">
        <w:t xml:space="preserve"> </w:t>
      </w:r>
      <w:r w:rsidR="00AA6850" w:rsidRPr="000A6875">
        <w:t xml:space="preserve"> </w:t>
      </w:r>
    </w:p>
    <w:p w14:paraId="7B26EBC7" w14:textId="77777777" w:rsidR="00A27CA5" w:rsidRPr="000A6875" w:rsidRDefault="00A27CA5" w:rsidP="006B337E">
      <w:pPr>
        <w:tabs>
          <w:tab w:val="clear" w:pos="851"/>
        </w:tabs>
      </w:pPr>
    </w:p>
    <w:p w14:paraId="1712D377" w14:textId="44D4BF66" w:rsidR="003C0440" w:rsidRPr="00191D29" w:rsidRDefault="00B26BE1" w:rsidP="005C0D91">
      <w:pPr>
        <w:keepNext/>
        <w:keepLines/>
        <w:tabs>
          <w:tab w:val="clear" w:pos="851"/>
        </w:tabs>
        <w:rPr>
          <w:b/>
          <w:bCs/>
        </w:rPr>
      </w:pPr>
      <w:r w:rsidRPr="00191D29">
        <w:rPr>
          <w:b/>
          <w:bCs/>
        </w:rPr>
        <w:lastRenderedPageBreak/>
        <w:t xml:space="preserve">COMPREHENSIVE REGULATORY PACKAGE INCLUDING </w:t>
      </w:r>
      <w:r w:rsidR="00607D1C" w:rsidRPr="00191D29">
        <w:rPr>
          <w:b/>
          <w:bCs/>
        </w:rPr>
        <w:t xml:space="preserve">POSSIBLE </w:t>
      </w:r>
      <w:r w:rsidRPr="00191D29">
        <w:rPr>
          <w:b/>
          <w:bCs/>
        </w:rPr>
        <w:t>DRAFT AMENDMENTS TO MARPOL ANNEX VI</w:t>
      </w:r>
    </w:p>
    <w:p w14:paraId="48473DDE" w14:textId="77777777" w:rsidR="003C0440" w:rsidRPr="00191D29" w:rsidRDefault="003C0440" w:rsidP="005C0D91">
      <w:pPr>
        <w:keepNext/>
        <w:keepLines/>
        <w:tabs>
          <w:tab w:val="clear" w:pos="851"/>
        </w:tabs>
      </w:pPr>
    </w:p>
    <w:p w14:paraId="3DC4FF8C" w14:textId="4E574FD6" w:rsidR="00AA394D" w:rsidRPr="00191D29" w:rsidRDefault="007F22CD" w:rsidP="005C0D91">
      <w:pPr>
        <w:keepNext/>
        <w:keepLines/>
        <w:tabs>
          <w:tab w:val="clear" w:pos="851"/>
        </w:tabs>
      </w:pPr>
      <w:r w:rsidRPr="00191D29">
        <w:t>70</w:t>
      </w:r>
      <w:r w:rsidR="003C0440" w:rsidRPr="00191D29">
        <w:tab/>
        <w:t xml:space="preserve">As indicated above, </w:t>
      </w:r>
      <w:r w:rsidR="00D841B0">
        <w:t>the co</w:t>
      </w:r>
      <w:r w:rsidR="00A60A20">
        <w:t xml:space="preserve">-sponsors </w:t>
      </w:r>
      <w:r w:rsidR="003C0440" w:rsidRPr="00191D29">
        <w:t>ha</w:t>
      </w:r>
      <w:r w:rsidR="00A60A20">
        <w:t>ve</w:t>
      </w:r>
      <w:r w:rsidR="003C0440" w:rsidRPr="00191D29">
        <w:t xml:space="preserve"> taken into account the </w:t>
      </w:r>
      <w:r w:rsidR="00E02C2A" w:rsidRPr="00191D29">
        <w:t xml:space="preserve">2023 IMO GHG Strategy </w:t>
      </w:r>
      <w:r w:rsidR="00F45E85" w:rsidRPr="00191D29">
        <w:t xml:space="preserve">and </w:t>
      </w:r>
      <w:r w:rsidR="006E4A35" w:rsidRPr="00191D29">
        <w:t xml:space="preserve">recent </w:t>
      </w:r>
      <w:r w:rsidR="003C0440" w:rsidRPr="00191D29">
        <w:t>discussion</w:t>
      </w:r>
      <w:r w:rsidR="00016A05" w:rsidRPr="00191D29">
        <w:t>s</w:t>
      </w:r>
      <w:r w:rsidR="003C0440" w:rsidRPr="00191D29">
        <w:t xml:space="preserve"> </w:t>
      </w:r>
      <w:r w:rsidR="00F45E85" w:rsidRPr="00191D29">
        <w:t xml:space="preserve">within </w:t>
      </w:r>
      <w:r w:rsidR="00607D1C" w:rsidRPr="00191D29">
        <w:t xml:space="preserve">the </w:t>
      </w:r>
      <w:r w:rsidR="00F45E85" w:rsidRPr="00191D29">
        <w:t xml:space="preserve">Group </w:t>
      </w:r>
      <w:r w:rsidR="003C0440" w:rsidRPr="00191D29">
        <w:t xml:space="preserve">and </w:t>
      </w:r>
      <w:r w:rsidR="00607D1C" w:rsidRPr="00191D29">
        <w:t xml:space="preserve">the </w:t>
      </w:r>
      <w:r w:rsidR="00F45E85" w:rsidRPr="00191D29">
        <w:t>Committee</w:t>
      </w:r>
      <w:r w:rsidR="006E4A35" w:rsidRPr="00191D29">
        <w:t>,</w:t>
      </w:r>
      <w:r w:rsidR="003C0440" w:rsidRPr="00191D29">
        <w:t xml:space="preserve"> in particular with regard to the issues raised relating to the operational, administrative, legal, and governance aspects of the proposal</w:t>
      </w:r>
      <w:r w:rsidR="00B26BE1" w:rsidRPr="00191D29">
        <w:t>.</w:t>
      </w:r>
      <w:r w:rsidR="00B000F7" w:rsidRPr="00191D29">
        <w:t xml:space="preserve"> </w:t>
      </w:r>
      <w:r w:rsidR="00AA394D" w:rsidRPr="00191D29">
        <w:t xml:space="preserve">For example, some Member States have questioned whether MARPOL Annex VI is an appropriate instrument for enacting international regulations that raise funds from ships. </w:t>
      </w:r>
      <w:r w:rsidR="00A60A20">
        <w:t xml:space="preserve">The co-sponsors </w:t>
      </w:r>
      <w:r w:rsidR="00AA394D" w:rsidRPr="00191D29">
        <w:t>note previous analysis and studies on this matter including that provided in document MEPC 76/7/11 (Belgium, Marshall Islands and Solomon Islands) which concludes as follows:</w:t>
      </w:r>
    </w:p>
    <w:p w14:paraId="6317D0CB" w14:textId="23B1E1F3" w:rsidR="00AA394D" w:rsidRPr="00191D29" w:rsidRDefault="00AA394D" w:rsidP="003C0440">
      <w:pPr>
        <w:tabs>
          <w:tab w:val="clear" w:pos="851"/>
        </w:tabs>
      </w:pPr>
    </w:p>
    <w:p w14:paraId="7A35F7D2" w14:textId="774C0053" w:rsidR="00AA394D" w:rsidRPr="00191D29" w:rsidRDefault="00AA394D" w:rsidP="003E56AA">
      <w:pPr>
        <w:tabs>
          <w:tab w:val="clear" w:pos="851"/>
        </w:tabs>
        <w:ind w:left="851"/>
      </w:pPr>
      <w:r w:rsidRPr="00191D29">
        <w:t>“21</w:t>
      </w:r>
      <w:r w:rsidRPr="00191D29">
        <w:tab/>
        <w:t>Nowhere in the Convention is a limit placed upon the types of measures that can be agreed by the members of IMO. Therefore, the only legal limit upon what measures can be agreed at IMO is the agreement of the members themselves. States came together to form the Organization in order to gain the benefits of working together across the international maritime sector. If the members of the Organization now agree that in order to reduce the impact of the maritime sector on the climate, IMO should implement a mid-term measure, of whatever form, there is nothing in the Convention preventing this. The tacit amendment procedure to MARPOL allows for a speedy adoption and entry into force of any measure which is necessary in order to achieve the goals of the Initial Strategy and halt the climate crisis.”</w:t>
      </w:r>
    </w:p>
    <w:p w14:paraId="232B1E5B" w14:textId="77777777" w:rsidR="00AA394D" w:rsidRPr="00191D29" w:rsidRDefault="00AA394D" w:rsidP="003C0440">
      <w:pPr>
        <w:tabs>
          <w:tab w:val="clear" w:pos="851"/>
        </w:tabs>
      </w:pPr>
    </w:p>
    <w:p w14:paraId="701D4BFB" w14:textId="0D571ECD" w:rsidR="003C0440" w:rsidRPr="00191D29" w:rsidRDefault="00017B87" w:rsidP="003C0440">
      <w:pPr>
        <w:tabs>
          <w:tab w:val="clear" w:pos="851"/>
        </w:tabs>
      </w:pPr>
      <w:r w:rsidRPr="00191D29">
        <w:t>7</w:t>
      </w:r>
      <w:r w:rsidR="007F22CD" w:rsidRPr="00191D29">
        <w:t>1</w:t>
      </w:r>
      <w:r w:rsidR="00AA394D" w:rsidRPr="00191D29">
        <w:tab/>
      </w:r>
      <w:r w:rsidR="00D37C54">
        <w:t>The co-sponsors</w:t>
      </w:r>
      <w:r w:rsidR="00AA394D" w:rsidRPr="00191D29">
        <w:t xml:space="preserve"> support </w:t>
      </w:r>
      <w:r w:rsidR="001F7B41" w:rsidRPr="00191D29">
        <w:t>this</w:t>
      </w:r>
      <w:r w:rsidR="00AA394D" w:rsidRPr="00191D29">
        <w:t xml:space="preserve"> conclusion</w:t>
      </w:r>
      <w:r w:rsidR="001F7B41" w:rsidRPr="00191D29">
        <w:t>,</w:t>
      </w:r>
      <w:r w:rsidR="00AA394D" w:rsidRPr="00191D29">
        <w:t xml:space="preserve"> and t</w:t>
      </w:r>
      <w:r w:rsidR="00B000F7" w:rsidRPr="00191D29">
        <w:t>o expedite</w:t>
      </w:r>
      <w:r w:rsidR="000E2873" w:rsidRPr="00191D29">
        <w:t xml:space="preserve"> </w:t>
      </w:r>
      <w:r w:rsidR="00B000F7" w:rsidRPr="00191D29">
        <w:t xml:space="preserve">development of </w:t>
      </w:r>
      <w:r w:rsidR="00084450" w:rsidRPr="00191D29">
        <w:t xml:space="preserve">amendments </w:t>
      </w:r>
      <w:r w:rsidR="00607D1C" w:rsidRPr="00191D29">
        <w:t xml:space="preserve">to MARPOL Annex VI </w:t>
      </w:r>
      <w:r w:rsidR="00084450" w:rsidRPr="00191D29">
        <w:t>that</w:t>
      </w:r>
      <w:r w:rsidR="00842830" w:rsidRPr="00191D29">
        <w:t xml:space="preserve"> can</w:t>
      </w:r>
      <w:r w:rsidR="00084450" w:rsidRPr="00191D29">
        <w:t xml:space="preserve"> be approved and adopted </w:t>
      </w:r>
      <w:r w:rsidR="00842830" w:rsidRPr="00191D29">
        <w:t>in</w:t>
      </w:r>
      <w:r w:rsidR="00084450" w:rsidRPr="00191D29">
        <w:t xml:space="preserve"> 2025</w:t>
      </w:r>
      <w:r w:rsidR="00F065EF" w:rsidRPr="00191D29">
        <w:t xml:space="preserve">, </w:t>
      </w:r>
      <w:r w:rsidR="00842830" w:rsidRPr="00191D29">
        <w:t xml:space="preserve">as required by </w:t>
      </w:r>
      <w:r w:rsidR="00437DEC" w:rsidRPr="00191D29">
        <w:t xml:space="preserve">the 2023 IMO GHG Strategy, </w:t>
      </w:r>
      <w:r w:rsidR="008B79AA">
        <w:t>the co-</w:t>
      </w:r>
      <w:r w:rsidR="00010870">
        <w:t>sponsors</w:t>
      </w:r>
      <w:r w:rsidR="00437DEC" w:rsidRPr="00191D29">
        <w:t xml:space="preserve"> </w:t>
      </w:r>
      <w:r w:rsidR="00010870">
        <w:t xml:space="preserve">have </w:t>
      </w:r>
      <w:r w:rsidR="003C0440" w:rsidRPr="00191D29">
        <w:t>prepared a comprehensive regulatory proposal, set out in the annexes to this document as follows:</w:t>
      </w:r>
    </w:p>
    <w:p w14:paraId="2EF8D053" w14:textId="77777777" w:rsidR="003C0440" w:rsidRPr="00191D29" w:rsidRDefault="003C0440" w:rsidP="003C0440">
      <w:pPr>
        <w:tabs>
          <w:tab w:val="clear" w:pos="851"/>
        </w:tabs>
      </w:pPr>
    </w:p>
    <w:p w14:paraId="1A5CC89C" w14:textId="0E80652B" w:rsidR="003C0440" w:rsidRPr="00191D29" w:rsidRDefault="003C0440" w:rsidP="00CA3D2B">
      <w:pPr>
        <w:tabs>
          <w:tab w:val="clear" w:pos="851"/>
        </w:tabs>
        <w:ind w:left="1702" w:hanging="842"/>
      </w:pPr>
      <w:r w:rsidRPr="00191D29">
        <w:t>.1</w:t>
      </w:r>
      <w:r w:rsidRPr="00191D29">
        <w:tab/>
        <w:t xml:space="preserve">Annex 1 – </w:t>
      </w:r>
      <w:r w:rsidR="00E25EF8" w:rsidRPr="00191D29">
        <w:t xml:space="preserve">possible </w:t>
      </w:r>
      <w:r w:rsidRPr="00191D29">
        <w:t xml:space="preserve">draft amendments to MARPOL Annex VI to add, </w:t>
      </w:r>
      <w:r w:rsidRPr="001C7368">
        <w:t>inter alia,</w:t>
      </w:r>
      <w:r w:rsidRPr="00191D29">
        <w:t xml:space="preserve"> a new Chapter 6 </w:t>
      </w:r>
      <w:r w:rsidR="00AA6546" w:rsidRPr="00191D29">
        <w:t>“</w:t>
      </w:r>
      <w:r w:rsidR="00CB031C" w:rsidRPr="000A6875">
        <w:rPr>
          <w:rFonts w:cs="Arial"/>
          <w:szCs w:val="22"/>
        </w:rPr>
        <w:t>Establishment of Fund and Reward (Feebate) Mechanism</w:t>
      </w:r>
      <w:r w:rsidR="00AA6546" w:rsidRPr="000A6875">
        <w:rPr>
          <w:rFonts w:cs="Arial"/>
          <w:szCs w:val="22"/>
        </w:rPr>
        <w:t>”</w:t>
      </w:r>
      <w:r w:rsidR="00717690" w:rsidRPr="000A6875">
        <w:rPr>
          <w:rFonts w:cs="Arial"/>
          <w:szCs w:val="22"/>
        </w:rPr>
        <w:t>;</w:t>
      </w:r>
    </w:p>
    <w:p w14:paraId="7488D4F2" w14:textId="77777777" w:rsidR="003C0440" w:rsidRPr="00191D29" w:rsidRDefault="003C0440" w:rsidP="003C0440">
      <w:pPr>
        <w:tabs>
          <w:tab w:val="clear" w:pos="851"/>
        </w:tabs>
      </w:pPr>
    </w:p>
    <w:p w14:paraId="6FD49DE2" w14:textId="6EB5E6CE" w:rsidR="000A05E8" w:rsidRPr="00191D29" w:rsidRDefault="003C0440" w:rsidP="003C0440">
      <w:pPr>
        <w:tabs>
          <w:tab w:val="clear" w:pos="851"/>
        </w:tabs>
        <w:ind w:left="1702" w:hanging="842"/>
      </w:pPr>
      <w:r w:rsidRPr="00191D29">
        <w:t>.2</w:t>
      </w:r>
      <w:r w:rsidRPr="00191D29">
        <w:tab/>
        <w:t xml:space="preserve">Annex 2 – draft </w:t>
      </w:r>
      <w:r w:rsidR="000A05E8" w:rsidRPr="00191D29">
        <w:t xml:space="preserve">Annex to </w:t>
      </w:r>
      <w:r w:rsidR="00607D1C" w:rsidRPr="00191D29">
        <w:t xml:space="preserve">an </w:t>
      </w:r>
      <w:r w:rsidRPr="00191D29">
        <w:t xml:space="preserve">MEPC resolution setting out draft </w:t>
      </w:r>
      <w:r w:rsidR="007C097A" w:rsidRPr="00191D29">
        <w:t>“</w:t>
      </w:r>
      <w:r w:rsidR="000A05E8" w:rsidRPr="00191D29">
        <w:rPr>
          <w:bCs/>
          <w:szCs w:val="22"/>
        </w:rPr>
        <w:t>Guidelines for the establishment and governance of the</w:t>
      </w:r>
      <w:r w:rsidR="00732FAE" w:rsidRPr="00191D29">
        <w:rPr>
          <w:bCs/>
          <w:szCs w:val="22"/>
        </w:rPr>
        <w:t xml:space="preserve"> </w:t>
      </w:r>
      <w:r w:rsidR="000A05E8" w:rsidRPr="00191D29">
        <w:rPr>
          <w:bCs/>
          <w:szCs w:val="22"/>
        </w:rPr>
        <w:t xml:space="preserve">Zero Emission Shipping Fund, oversight of the </w:t>
      </w:r>
      <w:r w:rsidR="000A05E8" w:rsidRPr="000A6875">
        <w:rPr>
          <w:bCs/>
          <w:szCs w:val="22"/>
        </w:rPr>
        <w:t>IMO (GHG) Maritime Sustainability Fu</w:t>
      </w:r>
      <w:r w:rsidR="000A05E8" w:rsidRPr="00191D29">
        <w:rPr>
          <w:bCs/>
          <w:szCs w:val="22"/>
        </w:rPr>
        <w:t>nd, and collection of contributions and disbursement of rewards (feebates) under Chapter 6 of MARPOL Annex VI”</w:t>
      </w:r>
      <w:r w:rsidR="00607D1C" w:rsidRPr="00191D29">
        <w:rPr>
          <w:bCs/>
          <w:szCs w:val="22"/>
        </w:rPr>
        <w:t>; and</w:t>
      </w:r>
    </w:p>
    <w:p w14:paraId="7B7D3E97" w14:textId="77777777" w:rsidR="003C0440" w:rsidRPr="00191D29" w:rsidRDefault="003C0440" w:rsidP="003C0440">
      <w:pPr>
        <w:tabs>
          <w:tab w:val="clear" w:pos="851"/>
        </w:tabs>
        <w:rPr>
          <w:highlight w:val="yellow"/>
        </w:rPr>
      </w:pPr>
    </w:p>
    <w:p w14:paraId="5176DE6B" w14:textId="1E3A7A81" w:rsidR="003C0440" w:rsidRPr="00191D29" w:rsidRDefault="003C0440" w:rsidP="00703731">
      <w:pPr>
        <w:tabs>
          <w:tab w:val="clear" w:pos="851"/>
        </w:tabs>
        <w:ind w:left="1702" w:hanging="842"/>
      </w:pPr>
      <w:r w:rsidRPr="00191D29">
        <w:t>.3</w:t>
      </w:r>
      <w:r w:rsidRPr="00191D29">
        <w:tab/>
        <w:t>Annex 3 – draft</w:t>
      </w:r>
      <w:r w:rsidR="00D24819" w:rsidRPr="00191D29">
        <w:t xml:space="preserve"> Annex to an MEPC </w:t>
      </w:r>
      <w:r w:rsidRPr="00191D29">
        <w:t xml:space="preserve">resolution setting out draft guidelines on the “Contribution to and Reward from the </w:t>
      </w:r>
      <w:r w:rsidR="00732FAE" w:rsidRPr="00191D29">
        <w:t xml:space="preserve">Zero Emission Shipping </w:t>
      </w:r>
      <w:r w:rsidRPr="00191D29">
        <w:t>Fund”</w:t>
      </w:r>
      <w:r w:rsidR="00607D1C" w:rsidRPr="00191D29">
        <w:t>.</w:t>
      </w:r>
    </w:p>
    <w:p w14:paraId="583F9299" w14:textId="77777777" w:rsidR="003C0440" w:rsidRPr="00191D29" w:rsidRDefault="003C0440" w:rsidP="003C0440">
      <w:pPr>
        <w:tabs>
          <w:tab w:val="clear" w:pos="851"/>
        </w:tabs>
      </w:pPr>
    </w:p>
    <w:p w14:paraId="19E7EEB8" w14:textId="0FFE209A" w:rsidR="003C0440" w:rsidRPr="000A6875" w:rsidRDefault="00017B87" w:rsidP="003C0440">
      <w:pPr>
        <w:tabs>
          <w:tab w:val="clear" w:pos="851"/>
        </w:tabs>
      </w:pPr>
      <w:r w:rsidRPr="00191D29">
        <w:t>7</w:t>
      </w:r>
      <w:r w:rsidR="007F22CD" w:rsidRPr="00191D29">
        <w:t>2</w:t>
      </w:r>
      <w:r w:rsidR="003C0440" w:rsidRPr="00191D29">
        <w:tab/>
        <w:t xml:space="preserve">The </w:t>
      </w:r>
      <w:r w:rsidR="00717690" w:rsidRPr="00191D29">
        <w:t xml:space="preserve">possible </w:t>
      </w:r>
      <w:r w:rsidR="003C0440" w:rsidRPr="00191D29">
        <w:t xml:space="preserve">draft amendments set out in annex 1 of this document include provisions for </w:t>
      </w:r>
      <w:r w:rsidR="00717690" w:rsidRPr="00191D29">
        <w:t xml:space="preserve">a </w:t>
      </w:r>
      <w:r w:rsidR="003C0440" w:rsidRPr="00191D29">
        <w:t>new Chapter 6 to MARPOL Annex VI as follows:</w:t>
      </w:r>
      <w:r w:rsidR="003C0440" w:rsidRPr="000A6875">
        <w:t xml:space="preserve"> </w:t>
      </w:r>
    </w:p>
    <w:p w14:paraId="71BDDB56" w14:textId="77777777" w:rsidR="003C0440" w:rsidRPr="00191D29" w:rsidRDefault="003C0440" w:rsidP="003C0440">
      <w:pPr>
        <w:tabs>
          <w:tab w:val="clear" w:pos="851"/>
        </w:tabs>
      </w:pPr>
      <w:r w:rsidRPr="00191D29">
        <w:tab/>
      </w:r>
    </w:p>
    <w:p w14:paraId="1B9471EC" w14:textId="4CAF3BF7" w:rsidR="003C0440" w:rsidRPr="00191D29" w:rsidRDefault="003C0440" w:rsidP="003C0440">
      <w:pPr>
        <w:tabs>
          <w:tab w:val="clear" w:pos="851"/>
        </w:tabs>
      </w:pPr>
      <w:r w:rsidRPr="00191D29">
        <w:tab/>
        <w:t>.1</w:t>
      </w:r>
      <w:r w:rsidRPr="00191D29">
        <w:tab/>
      </w:r>
      <w:r w:rsidR="00FB7BE6" w:rsidRPr="00191D29">
        <w:t>Regulation</w:t>
      </w:r>
      <w:r w:rsidR="00AE0CEB" w:rsidRPr="00191D29">
        <w:t xml:space="preserve"> 32 –</w:t>
      </w:r>
      <w:r w:rsidR="00FB7BE6" w:rsidRPr="00191D29">
        <w:t xml:space="preserve"> </w:t>
      </w:r>
      <w:r w:rsidRPr="00191D29">
        <w:t>Application;</w:t>
      </w:r>
    </w:p>
    <w:p w14:paraId="28E331FE" w14:textId="18AF62CF" w:rsidR="003C0440" w:rsidRPr="00191D29" w:rsidRDefault="003C0440" w:rsidP="003C0440">
      <w:pPr>
        <w:tabs>
          <w:tab w:val="clear" w:pos="851"/>
        </w:tabs>
      </w:pPr>
      <w:r w:rsidRPr="00191D29">
        <w:tab/>
        <w:t>.2</w:t>
      </w:r>
      <w:r w:rsidRPr="00191D29">
        <w:tab/>
      </w:r>
      <w:r w:rsidR="00AE0CEB" w:rsidRPr="00191D29">
        <w:t xml:space="preserve">Regulation 33 – </w:t>
      </w:r>
      <w:r w:rsidR="00EE379A" w:rsidRPr="00191D29">
        <w:t xml:space="preserve">Zero Emission Shipping Fund </w:t>
      </w:r>
      <w:r w:rsidR="00D4560A" w:rsidRPr="00191D29">
        <w:t>(ZESF</w:t>
      </w:r>
      <w:r w:rsidRPr="00191D29">
        <w:t>);</w:t>
      </w:r>
    </w:p>
    <w:p w14:paraId="2F01AD26" w14:textId="21204940" w:rsidR="003C0440" w:rsidRPr="00191D29" w:rsidRDefault="003C0440" w:rsidP="003C0440">
      <w:pPr>
        <w:tabs>
          <w:tab w:val="clear" w:pos="851"/>
        </w:tabs>
      </w:pPr>
      <w:r w:rsidRPr="00191D29">
        <w:tab/>
        <w:t>.3</w:t>
      </w:r>
      <w:r w:rsidRPr="00191D29">
        <w:tab/>
      </w:r>
      <w:r w:rsidR="00AE0CEB" w:rsidRPr="00191D29">
        <w:t xml:space="preserve">Regulation 34 – </w:t>
      </w:r>
      <w:r w:rsidRPr="00191D29">
        <w:t xml:space="preserve">IMO </w:t>
      </w:r>
      <w:r w:rsidR="00D4560A" w:rsidRPr="00191D29">
        <w:t xml:space="preserve">(GHG) </w:t>
      </w:r>
      <w:r w:rsidRPr="00191D29">
        <w:t>Maritime Sustainability Fund (IMSF);</w:t>
      </w:r>
    </w:p>
    <w:p w14:paraId="6E5C5668" w14:textId="4B9FDEA4" w:rsidR="003C0440" w:rsidRPr="000A6875" w:rsidRDefault="003C0440" w:rsidP="00F77F00">
      <w:pPr>
        <w:keepNext/>
        <w:keepLines/>
        <w:ind w:left="1702" w:hanging="1702"/>
        <w:rPr>
          <w:rFonts w:cs="Arial"/>
          <w:b/>
          <w:bCs/>
          <w:szCs w:val="22"/>
        </w:rPr>
      </w:pPr>
      <w:r w:rsidRPr="00191D29">
        <w:tab/>
        <w:t>.4</w:t>
      </w:r>
      <w:r w:rsidRPr="00191D29">
        <w:tab/>
      </w:r>
      <w:r w:rsidR="00AE0CEB" w:rsidRPr="00191D29">
        <w:t>Regulation 3</w:t>
      </w:r>
      <w:r w:rsidR="005548B6" w:rsidRPr="00191D29">
        <w:t>5</w:t>
      </w:r>
      <w:r w:rsidR="00AE0CEB" w:rsidRPr="00191D29">
        <w:t xml:space="preserve"> – </w:t>
      </w:r>
      <w:r w:rsidRPr="00191D29">
        <w:t xml:space="preserve">Contribution </w:t>
      </w:r>
      <w:r w:rsidR="00653491" w:rsidRPr="00191D29">
        <w:t xml:space="preserve">by ships to the </w:t>
      </w:r>
      <w:r w:rsidR="00F77F00" w:rsidRPr="000A6875">
        <w:rPr>
          <w:rFonts w:cs="Arial"/>
          <w:szCs w:val="22"/>
        </w:rPr>
        <w:t>Zero Emission Shipping Fund</w:t>
      </w:r>
      <w:r w:rsidRPr="00191D29">
        <w:t>;</w:t>
      </w:r>
    </w:p>
    <w:p w14:paraId="1B13885D" w14:textId="52284880" w:rsidR="00663623" w:rsidRPr="000A6875" w:rsidRDefault="00676DCB" w:rsidP="00CE57A7">
      <w:pPr>
        <w:keepNext/>
        <w:keepLines/>
        <w:ind w:left="1702" w:hanging="1702"/>
        <w:rPr>
          <w:rFonts w:cs="Arial"/>
          <w:b/>
          <w:bCs/>
          <w:szCs w:val="22"/>
        </w:rPr>
      </w:pPr>
      <w:r w:rsidRPr="000A6875">
        <w:rPr>
          <w:rFonts w:cs="Arial"/>
          <w:i/>
          <w:iCs/>
          <w:szCs w:val="22"/>
        </w:rPr>
        <w:tab/>
      </w:r>
      <w:r w:rsidR="00AA0C4C" w:rsidRPr="000A6875">
        <w:rPr>
          <w:rFonts w:cs="Arial"/>
          <w:i/>
          <w:iCs/>
          <w:szCs w:val="22"/>
        </w:rPr>
        <w:t>.</w:t>
      </w:r>
      <w:r w:rsidRPr="000A6875">
        <w:rPr>
          <w:rFonts w:cs="Arial"/>
          <w:szCs w:val="22"/>
        </w:rPr>
        <w:t>5</w:t>
      </w:r>
      <w:r w:rsidRPr="000A6875">
        <w:rPr>
          <w:rFonts w:cs="Arial"/>
          <w:i/>
          <w:iCs/>
          <w:szCs w:val="22"/>
        </w:rPr>
        <w:tab/>
      </w:r>
      <w:r w:rsidR="00AE0CEB" w:rsidRPr="00191D29">
        <w:t>Regulation</w:t>
      </w:r>
      <w:r w:rsidR="00DB1C57" w:rsidRPr="00191D29">
        <w:t xml:space="preserve"> </w:t>
      </w:r>
      <w:r w:rsidR="00AE0CEB" w:rsidRPr="00191D29">
        <w:t>3</w:t>
      </w:r>
      <w:r w:rsidR="005548B6" w:rsidRPr="00191D29">
        <w:t>6</w:t>
      </w:r>
      <w:r w:rsidR="008425A5" w:rsidRPr="00191D29">
        <w:t xml:space="preserve"> </w:t>
      </w:r>
      <w:r w:rsidR="00AE0CEB" w:rsidRPr="00191D29">
        <w:t xml:space="preserve">– </w:t>
      </w:r>
      <w:r w:rsidRPr="000A6875">
        <w:rPr>
          <w:rFonts w:cs="Arial"/>
          <w:szCs w:val="22"/>
        </w:rPr>
        <w:t xml:space="preserve">Rewards (feebates) disbursed by </w:t>
      </w:r>
      <w:r w:rsidR="00CE57A7" w:rsidRPr="000A6875">
        <w:rPr>
          <w:rFonts w:cs="Arial"/>
          <w:szCs w:val="22"/>
        </w:rPr>
        <w:t>the Zero Emission Shipping Fund</w:t>
      </w:r>
    </w:p>
    <w:p w14:paraId="676BB82F" w14:textId="543D656D" w:rsidR="003C0440" w:rsidRPr="00191D29" w:rsidRDefault="003C0440" w:rsidP="003C0440">
      <w:pPr>
        <w:tabs>
          <w:tab w:val="clear" w:pos="851"/>
        </w:tabs>
      </w:pPr>
      <w:r w:rsidRPr="00191D29">
        <w:tab/>
        <w:t>.5</w:t>
      </w:r>
      <w:r w:rsidRPr="00191D29">
        <w:tab/>
      </w:r>
      <w:r w:rsidR="00AE0CEB" w:rsidRPr="00191D29">
        <w:t>Regulation 3</w:t>
      </w:r>
      <w:r w:rsidR="006320C8" w:rsidRPr="00191D29">
        <w:t>7</w:t>
      </w:r>
      <w:r w:rsidR="00AE0CEB" w:rsidRPr="00191D29">
        <w:t xml:space="preserve"> – </w:t>
      </w:r>
      <w:r w:rsidRPr="00191D29">
        <w:t xml:space="preserve">Dates for implementation; </w:t>
      </w:r>
    </w:p>
    <w:p w14:paraId="2A85CC33" w14:textId="1D45F10D" w:rsidR="003C0440" w:rsidRPr="00191D29" w:rsidRDefault="003C0440" w:rsidP="003C0440">
      <w:pPr>
        <w:tabs>
          <w:tab w:val="clear" w:pos="851"/>
        </w:tabs>
      </w:pPr>
      <w:r w:rsidRPr="00191D29">
        <w:tab/>
        <w:t>.6</w:t>
      </w:r>
      <w:r w:rsidRPr="00191D29">
        <w:tab/>
      </w:r>
      <w:r w:rsidR="00AE0CEB" w:rsidRPr="00191D29">
        <w:t>Regulation 3</w:t>
      </w:r>
      <w:r w:rsidR="006320C8" w:rsidRPr="00191D29">
        <w:t>8</w:t>
      </w:r>
      <w:r w:rsidR="00AE0CEB" w:rsidRPr="00191D29">
        <w:t xml:space="preserve"> – </w:t>
      </w:r>
      <w:r w:rsidRPr="00191D29">
        <w:t>Review of this chapter; and</w:t>
      </w:r>
    </w:p>
    <w:p w14:paraId="69F7944C" w14:textId="65D0A386" w:rsidR="003C0440" w:rsidRPr="00191D29" w:rsidRDefault="003C0440" w:rsidP="003C0440">
      <w:pPr>
        <w:tabs>
          <w:tab w:val="clear" w:pos="851"/>
        </w:tabs>
      </w:pPr>
      <w:r w:rsidRPr="00191D29">
        <w:tab/>
        <w:t>.7</w:t>
      </w:r>
      <w:r w:rsidRPr="00191D29">
        <w:tab/>
      </w:r>
      <w:r w:rsidR="002F52D6" w:rsidRPr="00191D29">
        <w:t>Appendix</w:t>
      </w:r>
      <w:r w:rsidR="00AE0CEB" w:rsidRPr="00191D29">
        <w:t xml:space="preserve"> – </w:t>
      </w:r>
      <w:r w:rsidRPr="00191D29">
        <w:t>Form of the Statement of Compliance.</w:t>
      </w:r>
    </w:p>
    <w:p w14:paraId="5A01044B" w14:textId="77777777" w:rsidR="003C0440" w:rsidRPr="00191D29" w:rsidRDefault="003C0440" w:rsidP="003C0440">
      <w:pPr>
        <w:tabs>
          <w:tab w:val="clear" w:pos="851"/>
        </w:tabs>
      </w:pPr>
    </w:p>
    <w:p w14:paraId="740EA588" w14:textId="527A0FA8" w:rsidR="003C0440" w:rsidRPr="00191D29" w:rsidRDefault="004209A4" w:rsidP="003C0440">
      <w:pPr>
        <w:tabs>
          <w:tab w:val="clear" w:pos="851"/>
        </w:tabs>
      </w:pPr>
      <w:r w:rsidRPr="00191D29">
        <w:lastRenderedPageBreak/>
        <w:t>7</w:t>
      </w:r>
      <w:r w:rsidR="007F22CD" w:rsidRPr="00191D29">
        <w:t>3</w:t>
      </w:r>
      <w:r w:rsidR="003C0440" w:rsidRPr="00191D29">
        <w:tab/>
        <w:t xml:space="preserve">In addition, consequential </w:t>
      </w:r>
      <w:r w:rsidR="00717690" w:rsidRPr="00191D29">
        <w:t xml:space="preserve">possible </w:t>
      </w:r>
      <w:r w:rsidR="003C0440" w:rsidRPr="00191D29">
        <w:t xml:space="preserve">draft amendments to the following regulations of MARPOL Annex VI are proposed to include </w:t>
      </w:r>
      <w:r w:rsidR="00776B35" w:rsidRPr="00191D29">
        <w:t xml:space="preserve">the </w:t>
      </w:r>
      <w:r w:rsidR="00B01D4C" w:rsidRPr="00191D29">
        <w:t xml:space="preserve">ZESF within </w:t>
      </w:r>
      <w:r w:rsidR="003C0440" w:rsidRPr="00191D29">
        <w:t xml:space="preserve">the Statement of Compliance: </w:t>
      </w:r>
    </w:p>
    <w:p w14:paraId="5A2ACF15" w14:textId="77777777" w:rsidR="000A45AC" w:rsidRPr="00191D29" w:rsidRDefault="000A45AC" w:rsidP="003C0440">
      <w:pPr>
        <w:tabs>
          <w:tab w:val="clear" w:pos="851"/>
        </w:tabs>
        <w:sectPr w:rsidR="000A45AC" w:rsidRPr="00191D29" w:rsidSect="00DF3E2F">
          <w:headerReference w:type="even" r:id="rId24"/>
          <w:headerReference w:type="default" r:id="rId25"/>
          <w:footnotePr>
            <w:numRestart w:val="eachSect"/>
          </w:footnotePr>
          <w:type w:val="continuous"/>
          <w:pgSz w:w="11906" w:h="16838"/>
          <w:pgMar w:top="1440" w:right="1440" w:bottom="1440" w:left="1440" w:header="709" w:footer="709" w:gutter="0"/>
          <w:pgNumType w:start="1"/>
          <w:cols w:space="708"/>
          <w:titlePg/>
          <w:docGrid w:linePitch="360"/>
        </w:sectPr>
      </w:pPr>
    </w:p>
    <w:p w14:paraId="70F14F02" w14:textId="23179138" w:rsidR="003C0440" w:rsidRPr="00191D29" w:rsidRDefault="003C0440" w:rsidP="003C0440">
      <w:pPr>
        <w:tabs>
          <w:tab w:val="clear" w:pos="851"/>
        </w:tabs>
      </w:pPr>
    </w:p>
    <w:p w14:paraId="747102A0" w14:textId="77777777" w:rsidR="003C0440" w:rsidRPr="00191D29" w:rsidRDefault="003C0440" w:rsidP="003C0440">
      <w:pPr>
        <w:tabs>
          <w:tab w:val="clear" w:pos="851"/>
        </w:tabs>
        <w:ind w:left="1701" w:hanging="850"/>
      </w:pPr>
      <w:r w:rsidRPr="00191D29">
        <w:t xml:space="preserve">.1 </w:t>
      </w:r>
      <w:r w:rsidRPr="00191D29">
        <w:tab/>
        <w:t>Regulation 6 – Issue or endorsement of Certificates and Statements of Compliance;</w:t>
      </w:r>
    </w:p>
    <w:p w14:paraId="2E7E9A8E" w14:textId="77777777" w:rsidR="003C0440" w:rsidRPr="00191D29" w:rsidRDefault="003C0440" w:rsidP="003C0440">
      <w:pPr>
        <w:tabs>
          <w:tab w:val="clear" w:pos="851"/>
        </w:tabs>
      </w:pPr>
      <w:r w:rsidRPr="00191D29">
        <w:tab/>
        <w:t>.2</w:t>
      </w:r>
      <w:r w:rsidRPr="00191D29">
        <w:tab/>
        <w:t>Regulation 8 – Form of Certificates and Statements of Compliance;</w:t>
      </w:r>
    </w:p>
    <w:p w14:paraId="49FBF8C0" w14:textId="77777777" w:rsidR="003C0440" w:rsidRPr="00191D29" w:rsidRDefault="003C0440" w:rsidP="003C0440">
      <w:pPr>
        <w:tabs>
          <w:tab w:val="clear" w:pos="851"/>
        </w:tabs>
        <w:ind w:left="1701" w:hanging="850"/>
      </w:pPr>
      <w:r w:rsidRPr="00191D29">
        <w:t>.3</w:t>
      </w:r>
      <w:r w:rsidRPr="00191D29">
        <w:tab/>
        <w:t>Regulation 9 – Duration and validity of Certificates and Statements of Compliance; and</w:t>
      </w:r>
    </w:p>
    <w:p w14:paraId="6282BC4F" w14:textId="77777777" w:rsidR="003C0440" w:rsidRPr="00191D29" w:rsidRDefault="003C0440" w:rsidP="003C0440">
      <w:pPr>
        <w:tabs>
          <w:tab w:val="clear" w:pos="851"/>
        </w:tabs>
      </w:pPr>
      <w:r w:rsidRPr="00191D29">
        <w:tab/>
        <w:t xml:space="preserve">.4 </w:t>
      </w:r>
      <w:r w:rsidRPr="00191D29">
        <w:tab/>
        <w:t>Regulation 10 – Port State control on operational requirements.</w:t>
      </w:r>
    </w:p>
    <w:p w14:paraId="475FE73C" w14:textId="77777777" w:rsidR="004D1269" w:rsidRPr="00191D29" w:rsidRDefault="004D1269" w:rsidP="00717690">
      <w:pPr>
        <w:tabs>
          <w:tab w:val="clear" w:pos="851"/>
        </w:tabs>
        <w:rPr>
          <w:b/>
        </w:rPr>
      </w:pPr>
    </w:p>
    <w:p w14:paraId="3038C347" w14:textId="22D102AA" w:rsidR="004D1269" w:rsidRPr="00191D29" w:rsidRDefault="004D1269" w:rsidP="00717690">
      <w:pPr>
        <w:tabs>
          <w:tab w:val="clear" w:pos="851"/>
        </w:tabs>
        <w:rPr>
          <w:b/>
        </w:rPr>
      </w:pPr>
      <w:r w:rsidRPr="00191D29">
        <w:rPr>
          <w:b/>
        </w:rPr>
        <w:t xml:space="preserve">CONCLUSION </w:t>
      </w:r>
    </w:p>
    <w:p w14:paraId="049307DB" w14:textId="77777777" w:rsidR="004D1269" w:rsidRPr="00191D29" w:rsidRDefault="004D1269" w:rsidP="00717690">
      <w:pPr>
        <w:tabs>
          <w:tab w:val="clear" w:pos="851"/>
        </w:tabs>
        <w:rPr>
          <w:b/>
        </w:rPr>
      </w:pPr>
    </w:p>
    <w:p w14:paraId="58B44053" w14:textId="773C95F1" w:rsidR="0026588B" w:rsidRPr="00191D29" w:rsidRDefault="004209A4" w:rsidP="0026588B">
      <w:pPr>
        <w:tabs>
          <w:tab w:val="clear" w:pos="851"/>
        </w:tabs>
      </w:pPr>
      <w:r w:rsidRPr="000A6875">
        <w:t>7</w:t>
      </w:r>
      <w:r w:rsidR="007F22CD" w:rsidRPr="000A6875">
        <w:t>4</w:t>
      </w:r>
      <w:r w:rsidR="004D1269" w:rsidRPr="000A6875">
        <w:tab/>
      </w:r>
      <w:r w:rsidR="00010870">
        <w:t>The co-sp</w:t>
      </w:r>
      <w:r w:rsidR="007B12AC">
        <w:t>onsors</w:t>
      </w:r>
      <w:r w:rsidR="0026588B" w:rsidRPr="000A6875">
        <w:t xml:space="preserve"> emphasi</w:t>
      </w:r>
      <w:r w:rsidR="007B12AC">
        <w:t>z</w:t>
      </w:r>
      <w:r w:rsidR="0026588B" w:rsidRPr="000A6875">
        <w:t>e that if Member States are committed to adopting measures that will deliver the very</w:t>
      </w:r>
      <w:r w:rsidR="00B67893" w:rsidRPr="000A6875">
        <w:t xml:space="preserve"> high</w:t>
      </w:r>
      <w:r w:rsidR="0026588B" w:rsidRPr="000A6875">
        <w:t xml:space="preserve"> levels of ambition </w:t>
      </w:r>
      <w:r w:rsidR="002F6356" w:rsidRPr="000A6875">
        <w:t xml:space="preserve">which they have </w:t>
      </w:r>
      <w:r w:rsidR="00497156" w:rsidRPr="000A6875">
        <w:t xml:space="preserve">unanimously agreed, as </w:t>
      </w:r>
      <w:r w:rsidR="0026588B" w:rsidRPr="000A6875">
        <w:t xml:space="preserve">set out in the IMO 2023 GHG Strategy, a maritime GHG emissions pricing mechanism is </w:t>
      </w:r>
      <w:r w:rsidR="00A52DC4" w:rsidRPr="000A6875">
        <w:t xml:space="preserve">urgently </w:t>
      </w:r>
      <w:r w:rsidR="0026588B" w:rsidRPr="000A6875">
        <w:t>required for international shipping</w:t>
      </w:r>
      <w:r w:rsidR="00463036" w:rsidRPr="00191D29">
        <w:t>. A measure is required</w:t>
      </w:r>
      <w:r w:rsidR="0026588B" w:rsidRPr="00191D29">
        <w:t xml:space="preserve"> </w:t>
      </w:r>
      <w:r w:rsidR="00463036" w:rsidRPr="00191D29">
        <w:t xml:space="preserve">which </w:t>
      </w:r>
      <w:r w:rsidR="0026588B" w:rsidRPr="00191D29">
        <w:t xml:space="preserve">will meaningfully narrow the cost gap between zero/near-zero GHG fuels and conventional fuel oil to achieve a “take-off” point in their production and uptake, as required by the </w:t>
      </w:r>
      <w:r w:rsidR="003E5F27" w:rsidRPr="00191D29">
        <w:t xml:space="preserve">important </w:t>
      </w:r>
      <w:r w:rsidR="0026588B" w:rsidRPr="00191D29">
        <w:t>new level of ambition for 5 to 10% of energy used by international shipping to be generated from zero/near-zero GHG fuels</w:t>
      </w:r>
      <w:r w:rsidR="00A52DC4" w:rsidRPr="00191D29">
        <w:t>, technologies</w:t>
      </w:r>
      <w:r w:rsidR="0026588B" w:rsidRPr="00191D29">
        <w:t xml:space="preserve"> and/or energy sources by 2030, given that the current availability of such marine fuels is virtually zero. </w:t>
      </w:r>
    </w:p>
    <w:p w14:paraId="7C8BB88A" w14:textId="77777777" w:rsidR="0026588B" w:rsidRPr="00191D29" w:rsidRDefault="0026588B" w:rsidP="004D1269">
      <w:pPr>
        <w:tabs>
          <w:tab w:val="clear" w:pos="851"/>
        </w:tabs>
      </w:pPr>
    </w:p>
    <w:p w14:paraId="17D06CC3" w14:textId="177DA3AB" w:rsidR="00952866" w:rsidRPr="00191D29" w:rsidRDefault="00DE62C6" w:rsidP="004D1269">
      <w:pPr>
        <w:tabs>
          <w:tab w:val="clear" w:pos="851"/>
        </w:tabs>
      </w:pPr>
      <w:r w:rsidRPr="00191D29">
        <w:t>7</w:t>
      </w:r>
      <w:r w:rsidR="007F22CD" w:rsidRPr="00191D29">
        <w:t>5</w:t>
      </w:r>
      <w:r w:rsidR="008B3EEE" w:rsidRPr="00191D29">
        <w:tab/>
      </w:r>
      <w:r w:rsidR="00BF27D5" w:rsidRPr="00191D29">
        <w:t xml:space="preserve">The Fund and Reward (Feebate) </w:t>
      </w:r>
      <w:r w:rsidR="00C06DB8" w:rsidRPr="00191D29">
        <w:t xml:space="preserve">mechanism is </w:t>
      </w:r>
      <w:r w:rsidR="007F6145" w:rsidRPr="00191D29">
        <w:t xml:space="preserve">currently </w:t>
      </w:r>
      <w:r w:rsidR="00C06DB8" w:rsidRPr="00191D29">
        <w:t xml:space="preserve">the only </w:t>
      </w:r>
      <w:r w:rsidR="00691412" w:rsidRPr="00191D29">
        <w:t xml:space="preserve">fully developed </w:t>
      </w:r>
      <w:r w:rsidR="00C06DB8" w:rsidRPr="00191D29">
        <w:t>proposal on the table</w:t>
      </w:r>
      <w:r w:rsidR="00516F43" w:rsidRPr="00191D29">
        <w:t xml:space="preserve"> for a maritime GHG</w:t>
      </w:r>
      <w:r w:rsidR="00F53C9A" w:rsidRPr="00191D29">
        <w:t xml:space="preserve"> pricing mechanism</w:t>
      </w:r>
      <w:r w:rsidR="00C06DB8" w:rsidRPr="00191D29">
        <w:t>,</w:t>
      </w:r>
      <w:r w:rsidR="00641568" w:rsidRPr="00191D29">
        <w:t xml:space="preserve"> </w:t>
      </w:r>
      <w:r w:rsidR="00C06DB8" w:rsidRPr="00191D29">
        <w:t xml:space="preserve">supported by </w:t>
      </w:r>
      <w:r w:rsidR="006F33D2" w:rsidRPr="00191D29">
        <w:t xml:space="preserve">a </w:t>
      </w:r>
      <w:r w:rsidR="008B3EEE" w:rsidRPr="00191D29">
        <w:t xml:space="preserve">possible draft </w:t>
      </w:r>
      <w:r w:rsidR="006F33D2" w:rsidRPr="00191D29">
        <w:t>regulatory framework</w:t>
      </w:r>
      <w:r w:rsidR="00691412" w:rsidRPr="00191D29">
        <w:t>,</w:t>
      </w:r>
      <w:r w:rsidR="006F33D2" w:rsidRPr="00191D29">
        <w:t xml:space="preserve"> </w:t>
      </w:r>
      <w:r w:rsidR="00E72A85" w:rsidRPr="00191D29">
        <w:t>which can realistically be finalised for adoption by 2025</w:t>
      </w:r>
      <w:r w:rsidR="00BC5698" w:rsidRPr="00191D29">
        <w:t xml:space="preserve">, </w:t>
      </w:r>
      <w:r w:rsidR="00E1555F" w:rsidRPr="00191D29">
        <w:t xml:space="preserve">and </w:t>
      </w:r>
      <w:r w:rsidR="006D033B" w:rsidRPr="00191D29">
        <w:t xml:space="preserve">which is </w:t>
      </w:r>
      <w:r w:rsidR="00641568" w:rsidRPr="00191D29">
        <w:t xml:space="preserve">likely </w:t>
      </w:r>
      <w:r w:rsidR="007B0BD4" w:rsidRPr="00191D29">
        <w:t xml:space="preserve">to help </w:t>
      </w:r>
      <w:r w:rsidR="00641568" w:rsidRPr="00191D29">
        <w:t xml:space="preserve">ensure </w:t>
      </w:r>
      <w:r w:rsidR="00402155" w:rsidRPr="00191D29">
        <w:t xml:space="preserve">that </w:t>
      </w:r>
      <w:r w:rsidR="00681869" w:rsidRPr="00191D29">
        <w:t xml:space="preserve">delivery of the </w:t>
      </w:r>
      <w:r w:rsidR="00402155" w:rsidRPr="00191D29">
        <w:t xml:space="preserve">new </w:t>
      </w:r>
      <w:r w:rsidR="0081755C" w:rsidRPr="00191D29">
        <w:t>levels of ambition is achievable</w:t>
      </w:r>
      <w:r w:rsidR="00BC5698" w:rsidRPr="00191D29">
        <w:t xml:space="preserve"> and p</w:t>
      </w:r>
      <w:r w:rsidR="00C4542C" w:rsidRPr="00191D29">
        <w:t>rovide guaranteed level</w:t>
      </w:r>
      <w:r w:rsidR="00503681" w:rsidRPr="00191D29">
        <w:t>s</w:t>
      </w:r>
      <w:r w:rsidR="00C4542C" w:rsidRPr="00191D29">
        <w:t xml:space="preserve"> of funding</w:t>
      </w:r>
      <w:r w:rsidR="00691412" w:rsidRPr="00191D29">
        <w:t xml:space="preserve">, </w:t>
      </w:r>
      <w:r w:rsidR="00272484" w:rsidRPr="00191D29">
        <w:t>comprising billion</w:t>
      </w:r>
      <w:r w:rsidR="004C3608" w:rsidRPr="00191D29">
        <w:t>s</w:t>
      </w:r>
      <w:r w:rsidR="00272484" w:rsidRPr="00191D29">
        <w:t xml:space="preserve"> of </w:t>
      </w:r>
      <w:r w:rsidR="00691412" w:rsidRPr="00191D29">
        <w:t xml:space="preserve">US </w:t>
      </w:r>
      <w:r w:rsidR="00272484" w:rsidRPr="00191D29">
        <w:t>dollars</w:t>
      </w:r>
      <w:r w:rsidR="004B0D0F" w:rsidRPr="00191D29">
        <w:t xml:space="preserve"> annually,</w:t>
      </w:r>
      <w:r w:rsidR="00272484" w:rsidRPr="00191D29">
        <w:t xml:space="preserve"> </w:t>
      </w:r>
      <w:r w:rsidR="00C4542C" w:rsidRPr="00191D29">
        <w:t>to support the maritime GHG reduction efforts of developing countries</w:t>
      </w:r>
      <w:r w:rsidR="004C3608" w:rsidRPr="00191D29">
        <w:t>.</w:t>
      </w:r>
      <w:r w:rsidR="00C4542C" w:rsidRPr="00191D29">
        <w:t xml:space="preserve"> </w:t>
      </w:r>
    </w:p>
    <w:p w14:paraId="5A5EBA48" w14:textId="77777777" w:rsidR="00952866" w:rsidRPr="00191D29" w:rsidRDefault="00952866" w:rsidP="004D1269">
      <w:pPr>
        <w:tabs>
          <w:tab w:val="clear" w:pos="851"/>
        </w:tabs>
      </w:pPr>
    </w:p>
    <w:p w14:paraId="5345E567" w14:textId="0D756968" w:rsidR="00F87186" w:rsidRPr="00191D29" w:rsidRDefault="009E269D" w:rsidP="004D1269">
      <w:pPr>
        <w:tabs>
          <w:tab w:val="clear" w:pos="851"/>
        </w:tabs>
      </w:pPr>
      <w:r w:rsidRPr="00191D29">
        <w:t>7</w:t>
      </w:r>
      <w:r w:rsidR="007F22CD" w:rsidRPr="00191D29">
        <w:t>6</w:t>
      </w:r>
      <w:r w:rsidR="00952866" w:rsidRPr="00191D29">
        <w:tab/>
      </w:r>
      <w:r w:rsidR="00AD4E0C" w:rsidRPr="00191D29">
        <w:t xml:space="preserve">As shown by the updated impact assessment </w:t>
      </w:r>
      <w:r w:rsidR="00ED7E70" w:rsidRPr="00191D29">
        <w:t xml:space="preserve">submitted </w:t>
      </w:r>
      <w:r w:rsidR="008B3EEE" w:rsidRPr="00191D29">
        <w:t xml:space="preserve">in </w:t>
      </w:r>
      <w:r w:rsidR="00ED7E70" w:rsidRPr="00191D29">
        <w:t xml:space="preserve">document </w:t>
      </w:r>
      <w:r w:rsidR="00EE7A4C" w:rsidRPr="00191D29">
        <w:br/>
      </w:r>
      <w:r w:rsidR="00ED7E70" w:rsidRPr="00191D29">
        <w:t>ISWG-GHG 16/2/</w:t>
      </w:r>
      <w:r w:rsidR="00CA1617">
        <w:t>2</w:t>
      </w:r>
      <w:r w:rsidR="00640D4A">
        <w:t xml:space="preserve"> (ICS)</w:t>
      </w:r>
      <w:r w:rsidR="00ED7E70" w:rsidRPr="00191D29">
        <w:t xml:space="preserve">, </w:t>
      </w:r>
      <w:r w:rsidR="00D826A8">
        <w:t>the co-sponsors are</w:t>
      </w:r>
      <w:r w:rsidR="00ED7E70" w:rsidRPr="00191D29">
        <w:t xml:space="preserve"> confident that </w:t>
      </w:r>
      <w:r w:rsidR="00D50A9A" w:rsidRPr="00191D29">
        <w:t xml:space="preserve">a contribution </w:t>
      </w:r>
      <w:r w:rsidR="00DA57FF" w:rsidRPr="00191D29">
        <w:t>quantum</w:t>
      </w:r>
      <w:r w:rsidR="00D50A9A" w:rsidRPr="00191D29">
        <w:t xml:space="preserve"> </w:t>
      </w:r>
      <w:r w:rsidR="00DA57FF" w:rsidRPr="00191D29">
        <w:t xml:space="preserve">can be agreed that </w:t>
      </w:r>
      <w:r w:rsidR="00ED7E70" w:rsidRPr="00191D29">
        <w:t xml:space="preserve">will have no disproportionately negative </w:t>
      </w:r>
      <w:r w:rsidR="00952866" w:rsidRPr="00191D29">
        <w:t xml:space="preserve">economic </w:t>
      </w:r>
      <w:r w:rsidR="00ED7E70" w:rsidRPr="00191D29">
        <w:t>impact</w:t>
      </w:r>
      <w:r w:rsidR="00DA57FF" w:rsidRPr="00191D29">
        <w:t xml:space="preserve">s on States, </w:t>
      </w:r>
      <w:r w:rsidR="00D27498" w:rsidRPr="00191D29">
        <w:t xml:space="preserve">whilst </w:t>
      </w:r>
      <w:r w:rsidR="00B84AEC" w:rsidRPr="00191D29">
        <w:t>any cost impacts will be far outweig</w:t>
      </w:r>
      <w:r w:rsidR="00F86E06" w:rsidRPr="00191D29">
        <w:t>hed by the far greater cost of IMO failing to take the n</w:t>
      </w:r>
      <w:r w:rsidR="00952866" w:rsidRPr="00191D29">
        <w:t>e</w:t>
      </w:r>
      <w:r w:rsidR="00F86E06" w:rsidRPr="00191D29">
        <w:t>cessary</w:t>
      </w:r>
      <w:r w:rsidR="00952866" w:rsidRPr="00191D29">
        <w:t xml:space="preserve"> action </w:t>
      </w:r>
      <w:r w:rsidR="007D2947" w:rsidRPr="00191D29">
        <w:t>now.</w:t>
      </w:r>
      <w:r w:rsidR="00F86E06" w:rsidRPr="00191D29">
        <w:t xml:space="preserve">   </w:t>
      </w:r>
      <w:r w:rsidR="00ED7E70" w:rsidRPr="00191D29">
        <w:t xml:space="preserve"> </w:t>
      </w:r>
      <w:r w:rsidR="0081755C" w:rsidRPr="00191D29">
        <w:t xml:space="preserve"> </w:t>
      </w:r>
      <w:r w:rsidR="006F33D2" w:rsidRPr="00191D29">
        <w:t xml:space="preserve"> </w:t>
      </w:r>
    </w:p>
    <w:p w14:paraId="0010918A" w14:textId="77777777" w:rsidR="00F87186" w:rsidRPr="00191D29" w:rsidRDefault="00F87186" w:rsidP="004D1269">
      <w:pPr>
        <w:tabs>
          <w:tab w:val="clear" w:pos="851"/>
        </w:tabs>
      </w:pPr>
    </w:p>
    <w:p w14:paraId="3BFFDA1E" w14:textId="1249FBD3" w:rsidR="00776829" w:rsidRPr="00191D29" w:rsidRDefault="005255DB" w:rsidP="004D1269">
      <w:pPr>
        <w:tabs>
          <w:tab w:val="clear" w:pos="851"/>
        </w:tabs>
      </w:pPr>
      <w:r w:rsidRPr="00191D29">
        <w:t>7</w:t>
      </w:r>
      <w:r w:rsidR="007F22CD" w:rsidRPr="00191D29">
        <w:t>7</w:t>
      </w:r>
      <w:r w:rsidR="007834EF" w:rsidRPr="00191D29">
        <w:tab/>
      </w:r>
      <w:r w:rsidR="009E43AC" w:rsidRPr="00191D29">
        <w:t xml:space="preserve">A Global Fuel Standard </w:t>
      </w:r>
      <w:r w:rsidR="00564B3B" w:rsidRPr="00191D29">
        <w:t xml:space="preserve">(GFS) </w:t>
      </w:r>
      <w:r w:rsidR="009E43AC" w:rsidRPr="00191D29">
        <w:t>on its own</w:t>
      </w:r>
      <w:r w:rsidR="0087136A" w:rsidRPr="00191D29">
        <w:t xml:space="preserve"> (</w:t>
      </w:r>
      <w:r w:rsidR="004E7788" w:rsidRPr="00191D29">
        <w:t xml:space="preserve">even </w:t>
      </w:r>
      <w:r w:rsidR="00E35684" w:rsidRPr="00191D29">
        <w:t xml:space="preserve">if </w:t>
      </w:r>
      <w:r w:rsidR="004E7788" w:rsidRPr="00191D29">
        <w:t>it includes an economic element</w:t>
      </w:r>
      <w:r w:rsidR="00E35684" w:rsidRPr="00191D29">
        <w:t>)</w:t>
      </w:r>
      <w:r w:rsidR="004E7788" w:rsidRPr="00191D29">
        <w:t xml:space="preserve"> </w:t>
      </w:r>
      <w:r w:rsidR="0087136A" w:rsidRPr="00191D29">
        <w:t xml:space="preserve">will </w:t>
      </w:r>
      <w:r w:rsidR="001748A9" w:rsidRPr="00191D29">
        <w:t xml:space="preserve">not be </w:t>
      </w:r>
      <w:r w:rsidR="00EA0262" w:rsidRPr="00191D29">
        <w:t xml:space="preserve">sufficient to achieve a </w:t>
      </w:r>
      <w:r w:rsidR="00F51FC0" w:rsidRPr="00191D29">
        <w:t>“</w:t>
      </w:r>
      <w:r w:rsidR="00EA0262" w:rsidRPr="00191D29">
        <w:t>take-off</w:t>
      </w:r>
      <w:r w:rsidR="00F51FC0" w:rsidRPr="00191D29">
        <w:t>”</w:t>
      </w:r>
      <w:r w:rsidR="00EA0262" w:rsidRPr="00191D29">
        <w:t xml:space="preserve"> point </w:t>
      </w:r>
      <w:r w:rsidR="001748A9" w:rsidRPr="00191D29">
        <w:t>b</w:t>
      </w:r>
      <w:r w:rsidR="00116F53" w:rsidRPr="00191D29">
        <w:t xml:space="preserve">y 2030 so that </w:t>
      </w:r>
      <w:r w:rsidR="00502442">
        <w:t>zero</w:t>
      </w:r>
      <w:r w:rsidR="00BB38D0">
        <w:t>/near</w:t>
      </w:r>
      <w:r w:rsidR="001B6551">
        <w:t>-</w:t>
      </w:r>
      <w:r w:rsidR="00BB38D0">
        <w:t>zero</w:t>
      </w:r>
      <w:r w:rsidR="001B6551">
        <w:t xml:space="preserve"> GHG </w:t>
      </w:r>
      <w:r w:rsidR="00116F53" w:rsidRPr="00191D29">
        <w:t>fuel</w:t>
      </w:r>
      <w:r w:rsidR="00B7228F" w:rsidRPr="00191D29">
        <w:t>s</w:t>
      </w:r>
      <w:r w:rsidR="00116F53" w:rsidRPr="00191D29">
        <w:t xml:space="preserve"> </w:t>
      </w:r>
      <w:r w:rsidR="00B707E7" w:rsidRPr="00191D29">
        <w:t xml:space="preserve">will </w:t>
      </w:r>
      <w:r w:rsidR="00B7228F" w:rsidRPr="00191D29">
        <w:t xml:space="preserve">be </w:t>
      </w:r>
      <w:r w:rsidR="00B707E7" w:rsidRPr="00191D29">
        <w:t>produce</w:t>
      </w:r>
      <w:r w:rsidR="00B7228F" w:rsidRPr="00191D29">
        <w:t>d</w:t>
      </w:r>
      <w:r w:rsidR="00F85388" w:rsidRPr="00191D29">
        <w:t>,</w:t>
      </w:r>
      <w:r w:rsidR="00B707E7" w:rsidRPr="00191D29">
        <w:t xml:space="preserve"> at scale</w:t>
      </w:r>
      <w:r w:rsidR="00F85388" w:rsidRPr="00191D29">
        <w:t>,</w:t>
      </w:r>
      <w:r w:rsidR="00B707E7" w:rsidRPr="00191D29">
        <w:t xml:space="preserve"> </w:t>
      </w:r>
      <w:r w:rsidR="00F87186" w:rsidRPr="00191D29">
        <w:t xml:space="preserve">and made available to ships at ports globally, including </w:t>
      </w:r>
      <w:r w:rsidR="00F51FC0" w:rsidRPr="00191D29">
        <w:t xml:space="preserve">in </w:t>
      </w:r>
      <w:r w:rsidR="00F87186" w:rsidRPr="00191D29">
        <w:t>developing countries</w:t>
      </w:r>
      <w:r w:rsidR="00261227" w:rsidRPr="00191D29">
        <w:t>, so that the 2040 indic</w:t>
      </w:r>
      <w:r w:rsidR="003F061F" w:rsidRPr="00191D29">
        <w:t>a</w:t>
      </w:r>
      <w:r w:rsidR="00261227" w:rsidRPr="00191D29">
        <w:t xml:space="preserve">tive checkpoint </w:t>
      </w:r>
      <w:r w:rsidR="00E11AD1" w:rsidRPr="00191D29">
        <w:t xml:space="preserve">for </w:t>
      </w:r>
      <w:r w:rsidR="003F061F" w:rsidRPr="00191D29">
        <w:t xml:space="preserve">a </w:t>
      </w:r>
      <w:r w:rsidR="00E11AD1" w:rsidRPr="00191D29">
        <w:t xml:space="preserve">70 to 80% cut in international shipping’s </w:t>
      </w:r>
      <w:r w:rsidR="003F061F" w:rsidRPr="00191D29">
        <w:t xml:space="preserve">absolute GHG </w:t>
      </w:r>
      <w:r w:rsidR="00E11AD1" w:rsidRPr="00191D29">
        <w:t>emissions</w:t>
      </w:r>
      <w:r w:rsidR="003F061F" w:rsidRPr="00191D29">
        <w:t>, regardless of trade growth</w:t>
      </w:r>
      <w:r w:rsidR="006778D1" w:rsidRPr="00191D29">
        <w:t>,</w:t>
      </w:r>
      <w:r w:rsidR="003F061F" w:rsidRPr="00191D29">
        <w:t xml:space="preserve"> is </w:t>
      </w:r>
      <w:r w:rsidR="00E11AD1" w:rsidRPr="00191D29">
        <w:t xml:space="preserve">feasible </w:t>
      </w:r>
      <w:r w:rsidR="00077FBC" w:rsidRPr="00191D29">
        <w:t xml:space="preserve">and </w:t>
      </w:r>
      <w:r w:rsidR="003F061F" w:rsidRPr="00191D29">
        <w:t>that achievement</w:t>
      </w:r>
      <w:r w:rsidR="00B77479" w:rsidRPr="00191D29">
        <w:t xml:space="preserve"> of net zero GHG emissions by or around 2050 remains</w:t>
      </w:r>
      <w:r w:rsidR="003F061F" w:rsidRPr="00191D29">
        <w:t xml:space="preserve"> plausible</w:t>
      </w:r>
      <w:r w:rsidR="00B77479" w:rsidRPr="00191D29">
        <w:t xml:space="preserve">. </w:t>
      </w:r>
      <w:r w:rsidR="006778D1" w:rsidRPr="00191D29">
        <w:t xml:space="preserve">Moreover, a GFS </w:t>
      </w:r>
      <w:r w:rsidR="00564B3B" w:rsidRPr="00191D29">
        <w:t xml:space="preserve">on its own (even if it includes an economic element) will not provide guaranteed levels of funding, comprising billions of </w:t>
      </w:r>
      <w:r w:rsidR="008B3EEE" w:rsidRPr="00191D29">
        <w:t xml:space="preserve">US </w:t>
      </w:r>
      <w:r w:rsidR="00564B3B" w:rsidRPr="00191D29">
        <w:t xml:space="preserve">dollars annually, to support the maritime GHG reduction efforts of developing countries. </w:t>
      </w:r>
    </w:p>
    <w:p w14:paraId="2B3770DE" w14:textId="77777777" w:rsidR="00776829" w:rsidRPr="00191D29" w:rsidRDefault="00776829" w:rsidP="004D1269">
      <w:pPr>
        <w:tabs>
          <w:tab w:val="clear" w:pos="851"/>
        </w:tabs>
      </w:pPr>
    </w:p>
    <w:p w14:paraId="6701D472" w14:textId="52FC3104" w:rsidR="00A62D5E" w:rsidRPr="00191D29" w:rsidRDefault="007904B4" w:rsidP="004D1269">
      <w:pPr>
        <w:tabs>
          <w:tab w:val="clear" w:pos="851"/>
        </w:tabs>
      </w:pPr>
      <w:r w:rsidRPr="00191D29">
        <w:t>7</w:t>
      </w:r>
      <w:r w:rsidR="007F22CD" w:rsidRPr="00191D29">
        <w:t>8</w:t>
      </w:r>
      <w:r w:rsidR="00FA3DC8" w:rsidRPr="00191D29">
        <w:tab/>
      </w:r>
      <w:r w:rsidR="00020B66" w:rsidRPr="00191D29">
        <w:t xml:space="preserve">The </w:t>
      </w:r>
      <w:r w:rsidR="00A40447" w:rsidRPr="00191D29">
        <w:t xml:space="preserve">truly enormous </w:t>
      </w:r>
      <w:r w:rsidR="00020B66" w:rsidRPr="00191D29">
        <w:t xml:space="preserve">challenge set by the </w:t>
      </w:r>
      <w:r w:rsidR="0071106C" w:rsidRPr="00191D29">
        <w:t xml:space="preserve">2023 IMO GHG Strategy, </w:t>
      </w:r>
      <w:r w:rsidR="008B3EEE" w:rsidRPr="00191D29">
        <w:t>agreed unanimously by Member States</w:t>
      </w:r>
      <w:r w:rsidR="0018704B" w:rsidRPr="00191D29">
        <w:t xml:space="preserve"> at MEPC 80</w:t>
      </w:r>
      <w:r w:rsidR="008B3EEE" w:rsidRPr="00191D29">
        <w:t xml:space="preserve">, </w:t>
      </w:r>
      <w:r w:rsidR="0071106C" w:rsidRPr="00191D29">
        <w:t xml:space="preserve">and </w:t>
      </w:r>
      <w:r w:rsidR="00776829" w:rsidRPr="00191D29">
        <w:t xml:space="preserve">the short time between </w:t>
      </w:r>
      <w:r w:rsidR="00E751CD" w:rsidRPr="00191D29">
        <w:t>now an</w:t>
      </w:r>
      <w:r w:rsidR="0071106C" w:rsidRPr="00191D29">
        <w:t>d</w:t>
      </w:r>
      <w:r w:rsidR="00E751CD" w:rsidRPr="00191D29">
        <w:t xml:space="preserve"> 2030</w:t>
      </w:r>
      <w:r w:rsidR="00020B66" w:rsidRPr="00191D29">
        <w:t>,</w:t>
      </w:r>
      <w:r w:rsidR="0071106C" w:rsidRPr="00191D29">
        <w:t xml:space="preserve"> means that </w:t>
      </w:r>
      <w:r w:rsidR="00027015" w:rsidRPr="00191D29">
        <w:t xml:space="preserve">immediate </w:t>
      </w:r>
      <w:r w:rsidR="0071106C" w:rsidRPr="00191D29">
        <w:t>action is required</w:t>
      </w:r>
      <w:r w:rsidR="009E1453" w:rsidRPr="00191D29">
        <w:t xml:space="preserve"> and </w:t>
      </w:r>
      <w:r w:rsidR="00B0685C" w:rsidRPr="00191D29">
        <w:t xml:space="preserve">that </w:t>
      </w:r>
      <w:r w:rsidR="009E1453" w:rsidRPr="00191D29">
        <w:t xml:space="preserve">the Committee cannot delay </w:t>
      </w:r>
      <w:r w:rsidR="00FA3DC8" w:rsidRPr="00191D29">
        <w:t xml:space="preserve">taking the </w:t>
      </w:r>
      <w:r w:rsidR="00AE2C51" w:rsidRPr="00191D29">
        <w:t xml:space="preserve">urgent </w:t>
      </w:r>
      <w:r w:rsidR="009E1453" w:rsidRPr="00191D29">
        <w:t xml:space="preserve">decisions that are needed </w:t>
      </w:r>
      <w:r w:rsidR="00AE2C51" w:rsidRPr="00191D29">
        <w:t>abo</w:t>
      </w:r>
      <w:r w:rsidR="00FA3DC8" w:rsidRPr="00191D29">
        <w:t>ut</w:t>
      </w:r>
      <w:r w:rsidR="00AE2C51" w:rsidRPr="00191D29">
        <w:t xml:space="preserve"> the new regulations which</w:t>
      </w:r>
      <w:r w:rsidR="003472D4" w:rsidRPr="00191D29">
        <w:t xml:space="preserve"> must </w:t>
      </w:r>
      <w:r w:rsidR="00AE2C51" w:rsidRPr="00191D29">
        <w:t xml:space="preserve">be adopted </w:t>
      </w:r>
      <w:r w:rsidR="00FA3DC8" w:rsidRPr="00191D29">
        <w:t xml:space="preserve">by 2025 </w:t>
      </w:r>
      <w:r w:rsidR="00E53635" w:rsidRPr="00191D29">
        <w:t xml:space="preserve">if </w:t>
      </w:r>
      <w:r w:rsidR="00DF3DEF" w:rsidRPr="00191D29">
        <w:t xml:space="preserve">it wishes </w:t>
      </w:r>
      <w:r w:rsidR="00E53635" w:rsidRPr="00191D29">
        <w:t xml:space="preserve">to avoid </w:t>
      </w:r>
      <w:r w:rsidR="00DF3DEF" w:rsidRPr="00191D29">
        <w:t xml:space="preserve">the </w:t>
      </w:r>
      <w:r w:rsidR="002C508A" w:rsidRPr="00191D29">
        <w:t>achievement of the new levels of ambition end</w:t>
      </w:r>
      <w:r w:rsidR="00E53635" w:rsidRPr="00191D29">
        <w:t>ing</w:t>
      </w:r>
      <w:r w:rsidR="002C508A" w:rsidRPr="00191D29">
        <w:t xml:space="preserve"> in failure</w:t>
      </w:r>
      <w:r w:rsidR="008F7730" w:rsidRPr="00191D29">
        <w:t>.</w:t>
      </w:r>
      <w:r w:rsidR="00A62D5E" w:rsidRPr="00191D29">
        <w:t xml:space="preserve"> </w:t>
      </w:r>
      <w:r w:rsidR="00776829" w:rsidRPr="00191D29">
        <w:t>S</w:t>
      </w:r>
      <w:r w:rsidR="004D1269" w:rsidRPr="00191D29">
        <w:t xml:space="preserve">ignificant progress at MEPC 81 will therefore be vital, and a clear recommendation needs to be made by ISWG-GHG 16 about which type of </w:t>
      </w:r>
      <w:r w:rsidR="008B3EEE" w:rsidRPr="00191D29">
        <w:t xml:space="preserve">maritime </w:t>
      </w:r>
      <w:r w:rsidR="004D1269" w:rsidRPr="00191D29">
        <w:t xml:space="preserve">GHG </w:t>
      </w:r>
      <w:r w:rsidR="008B3EEE" w:rsidRPr="00191D29">
        <w:t xml:space="preserve">emissions </w:t>
      </w:r>
      <w:r w:rsidR="004D1269" w:rsidRPr="00191D29">
        <w:t xml:space="preserve">pricing mechanism should be taken forward for finalisation. </w:t>
      </w:r>
    </w:p>
    <w:p w14:paraId="51B0993E" w14:textId="77777777" w:rsidR="00A62D5E" w:rsidRPr="00191D29" w:rsidRDefault="00A62D5E" w:rsidP="004D1269">
      <w:pPr>
        <w:tabs>
          <w:tab w:val="clear" w:pos="851"/>
        </w:tabs>
      </w:pPr>
    </w:p>
    <w:p w14:paraId="5FC6DCAE" w14:textId="6E40FDE5" w:rsidR="004D1269" w:rsidRPr="00191D29" w:rsidRDefault="00C00BD8" w:rsidP="004D1269">
      <w:pPr>
        <w:tabs>
          <w:tab w:val="clear" w:pos="851"/>
        </w:tabs>
      </w:pPr>
      <w:r w:rsidRPr="00191D29">
        <w:lastRenderedPageBreak/>
        <w:t>7</w:t>
      </w:r>
      <w:r w:rsidR="007F22CD" w:rsidRPr="00191D29">
        <w:t>9</w:t>
      </w:r>
      <w:r w:rsidR="00717690" w:rsidRPr="00191D29">
        <w:tab/>
      </w:r>
      <w:r w:rsidR="00BF31AB">
        <w:t>The co-sponsor</w:t>
      </w:r>
      <w:r w:rsidR="00AD6A0B">
        <w:t xml:space="preserve">s </w:t>
      </w:r>
      <w:r w:rsidR="00AD1B7F" w:rsidRPr="00191D29">
        <w:t>therefore reiterate</w:t>
      </w:r>
      <w:r w:rsidR="004D1269" w:rsidRPr="00191D29">
        <w:t xml:space="preserve"> that </w:t>
      </w:r>
      <w:r w:rsidR="00AD6A0B">
        <w:t xml:space="preserve">this </w:t>
      </w:r>
      <w:r w:rsidR="004D1269" w:rsidRPr="00191D29">
        <w:t>comprehensive proposal for a Fund and Reward (Feebate) mechanism with flat rate contributions per tonne of CO</w:t>
      </w:r>
      <w:r w:rsidR="004D1269" w:rsidRPr="00191D29">
        <w:rPr>
          <w:vertAlign w:val="subscript"/>
        </w:rPr>
        <w:t>2</w:t>
      </w:r>
      <w:r w:rsidR="004D1269" w:rsidRPr="00191D29">
        <w:t xml:space="preserve">e </w:t>
      </w:r>
      <w:r w:rsidR="009B7F6A" w:rsidRPr="00191D29">
        <w:t>em</w:t>
      </w:r>
      <w:r w:rsidR="004E0868" w:rsidRPr="00191D29">
        <w:t xml:space="preserve">issions </w:t>
      </w:r>
      <w:r w:rsidR="004D1269" w:rsidRPr="00191D29">
        <w:t xml:space="preserve">being made by ships to a Zero Emission Shipping Fund (ZESF), complete with the necessary regulatory architecture as set out in this document, therefore needs to be taken forward as soon as possible if the </w:t>
      </w:r>
      <w:r w:rsidR="00FC19DC" w:rsidRPr="00191D29">
        <w:t>levels of ambition</w:t>
      </w:r>
      <w:r w:rsidR="004D1269" w:rsidRPr="00191D29">
        <w:t xml:space="preserve"> and </w:t>
      </w:r>
      <w:r w:rsidR="00CC0432" w:rsidRPr="00191D29">
        <w:t xml:space="preserve">indicative </w:t>
      </w:r>
      <w:r w:rsidR="004D1269" w:rsidRPr="00191D29">
        <w:t>checkpoints contained in the 2023 IMO GHG Strategy are to remain achievable and plausible.</w:t>
      </w:r>
    </w:p>
    <w:p w14:paraId="5EBD3A06" w14:textId="77777777" w:rsidR="004D1269" w:rsidRPr="00191D29" w:rsidRDefault="004D1269" w:rsidP="00717690">
      <w:pPr>
        <w:tabs>
          <w:tab w:val="clear" w:pos="851"/>
        </w:tabs>
        <w:rPr>
          <w:b/>
        </w:rPr>
      </w:pPr>
    </w:p>
    <w:p w14:paraId="1F248349" w14:textId="1C67F1F1" w:rsidR="003C0440" w:rsidRPr="00191D29" w:rsidRDefault="003C0440" w:rsidP="008B3EEE">
      <w:pPr>
        <w:keepNext/>
        <w:keepLines/>
        <w:tabs>
          <w:tab w:val="clear" w:pos="851"/>
        </w:tabs>
        <w:rPr>
          <w:b/>
        </w:rPr>
      </w:pPr>
      <w:r w:rsidRPr="00191D29">
        <w:rPr>
          <w:b/>
        </w:rPr>
        <w:t>ACTION REQUESTED OF THE GROUP</w:t>
      </w:r>
    </w:p>
    <w:p w14:paraId="56CD3992" w14:textId="77777777" w:rsidR="003C0440" w:rsidRPr="00191D29" w:rsidRDefault="003C0440" w:rsidP="008B3EEE">
      <w:pPr>
        <w:keepNext/>
        <w:keepLines/>
        <w:tabs>
          <w:tab w:val="clear" w:pos="851"/>
        </w:tabs>
      </w:pPr>
    </w:p>
    <w:p w14:paraId="1A267CC5" w14:textId="63C62720" w:rsidR="003C0440" w:rsidRPr="00191D29" w:rsidRDefault="007F22CD" w:rsidP="008B3EEE">
      <w:pPr>
        <w:keepNext/>
        <w:keepLines/>
        <w:tabs>
          <w:tab w:val="clear" w:pos="851"/>
        </w:tabs>
      </w:pPr>
      <w:r w:rsidRPr="00191D29">
        <w:t>80</w:t>
      </w:r>
      <w:r w:rsidR="003C0440" w:rsidRPr="00191D29">
        <w:tab/>
        <w:t>The Group is invited</w:t>
      </w:r>
      <w:r w:rsidR="00467CEB" w:rsidRPr="00191D29">
        <w:t xml:space="preserve"> to </w:t>
      </w:r>
      <w:r w:rsidR="00EE7A4C" w:rsidRPr="00191D29">
        <w:t xml:space="preserve">consider the proposal including the annexes set out in this document and </w:t>
      </w:r>
      <w:r w:rsidR="00467CEB" w:rsidRPr="00191D29">
        <w:t>recommend to MEPC 81</w:t>
      </w:r>
      <w:r w:rsidR="00AA320C" w:rsidRPr="00191D29">
        <w:t xml:space="preserve"> that</w:t>
      </w:r>
      <w:r w:rsidR="003C0440" w:rsidRPr="00191D29">
        <w:t xml:space="preserve">: </w:t>
      </w:r>
    </w:p>
    <w:p w14:paraId="518D462A" w14:textId="77777777" w:rsidR="003C0440" w:rsidRPr="00191D29" w:rsidRDefault="003C0440" w:rsidP="00717690">
      <w:pPr>
        <w:tabs>
          <w:tab w:val="clear" w:pos="851"/>
        </w:tabs>
      </w:pPr>
    </w:p>
    <w:p w14:paraId="77A500C3" w14:textId="43D7EAFD" w:rsidR="00C41BBB" w:rsidRPr="00191D29" w:rsidRDefault="003C0440" w:rsidP="00780164">
      <w:pPr>
        <w:tabs>
          <w:tab w:val="clear" w:pos="851"/>
        </w:tabs>
        <w:ind w:left="1702" w:hanging="851"/>
      </w:pPr>
      <w:r w:rsidRPr="00191D29">
        <w:t xml:space="preserve">.1 </w:t>
      </w:r>
      <w:r w:rsidRPr="00191D29">
        <w:tab/>
      </w:r>
      <w:r w:rsidR="003F48D1" w:rsidRPr="00191D29">
        <w:t xml:space="preserve">a Fund and Reward (Feebate) mechanism should be taken forward </w:t>
      </w:r>
      <w:r w:rsidR="00807925" w:rsidRPr="00191D29">
        <w:t>a</w:t>
      </w:r>
      <w:r w:rsidR="007E34F0" w:rsidRPr="00191D29">
        <w:t>s</w:t>
      </w:r>
      <w:r w:rsidR="00807925" w:rsidRPr="00191D29">
        <w:t xml:space="preserve"> </w:t>
      </w:r>
      <w:r w:rsidR="00411E0D" w:rsidRPr="00191D29">
        <w:t xml:space="preserve">a </w:t>
      </w:r>
      <w:r w:rsidR="007E34F0" w:rsidRPr="00191D29">
        <w:t>maritime</w:t>
      </w:r>
      <w:r w:rsidRPr="00191D29">
        <w:t xml:space="preserve"> </w:t>
      </w:r>
      <w:r w:rsidR="007E34F0" w:rsidRPr="00191D29">
        <w:t xml:space="preserve">GHG </w:t>
      </w:r>
      <w:r w:rsidR="00EE7A4C" w:rsidRPr="00191D29">
        <w:t xml:space="preserve">emissions </w:t>
      </w:r>
      <w:r w:rsidR="007E34F0" w:rsidRPr="00191D29">
        <w:t>pricing</w:t>
      </w:r>
      <w:r w:rsidR="00C40DE6" w:rsidRPr="00191D29">
        <w:t xml:space="preserve"> mechanism</w:t>
      </w:r>
      <w:r w:rsidR="00411E0D" w:rsidRPr="00191D29">
        <w:t>, as required by the 2023 IMO GHG S</w:t>
      </w:r>
      <w:r w:rsidR="009670CD" w:rsidRPr="00191D29">
        <w:t>trategy</w:t>
      </w:r>
      <w:r w:rsidR="00435C5C" w:rsidRPr="00191D29">
        <w:t>,</w:t>
      </w:r>
      <w:r w:rsidR="00C40DE6" w:rsidRPr="00191D29">
        <w:t xml:space="preserve"> </w:t>
      </w:r>
      <w:r w:rsidRPr="00191D29">
        <w:t>to be prioritized for development</w:t>
      </w:r>
      <w:r w:rsidR="009670CD" w:rsidRPr="00191D29">
        <w:t xml:space="preserve"> and adoption </w:t>
      </w:r>
      <w:r w:rsidR="00435C5C" w:rsidRPr="00191D29">
        <w:t xml:space="preserve">as </w:t>
      </w:r>
      <w:r w:rsidR="00AA320C" w:rsidRPr="00191D29">
        <w:t xml:space="preserve">a </w:t>
      </w:r>
      <w:r w:rsidR="00AE465E" w:rsidRPr="00191D29">
        <w:t xml:space="preserve">separate </w:t>
      </w:r>
      <w:r w:rsidR="000A4721" w:rsidRPr="00191D29">
        <w:t xml:space="preserve">economic measure </w:t>
      </w:r>
      <w:r w:rsidR="009670CD" w:rsidRPr="00191D29">
        <w:t>by 2</w:t>
      </w:r>
      <w:r w:rsidR="00676D99" w:rsidRPr="00191D29">
        <w:t>025</w:t>
      </w:r>
      <w:r w:rsidRPr="00191D29">
        <w:t>, as part of a basket of mid-term measures</w:t>
      </w:r>
      <w:r w:rsidR="00574A84" w:rsidRPr="00191D29">
        <w:t xml:space="preserve"> that </w:t>
      </w:r>
      <w:r w:rsidR="000A4721" w:rsidRPr="00191D29">
        <w:t xml:space="preserve">also </w:t>
      </w:r>
      <w:r w:rsidR="00785143" w:rsidRPr="00191D29">
        <w:t>i</w:t>
      </w:r>
      <w:r w:rsidR="00574A84" w:rsidRPr="00191D29">
        <w:t xml:space="preserve">ncludes </w:t>
      </w:r>
      <w:r w:rsidR="000A4721" w:rsidRPr="00191D29">
        <w:t>a</w:t>
      </w:r>
      <w:r w:rsidR="00574A84" w:rsidRPr="00191D29">
        <w:t xml:space="preserve"> Global (G</w:t>
      </w:r>
      <w:r w:rsidR="00323414" w:rsidRPr="00191D29">
        <w:t xml:space="preserve">HG) Fuel Standard as a </w:t>
      </w:r>
      <w:r w:rsidR="001539A9" w:rsidRPr="00191D29">
        <w:t xml:space="preserve">separate </w:t>
      </w:r>
      <w:r w:rsidR="00323414" w:rsidRPr="00191D29">
        <w:t>technical measure</w:t>
      </w:r>
      <w:r w:rsidR="00C41BBB" w:rsidRPr="00191D29">
        <w:t xml:space="preserve">; </w:t>
      </w:r>
    </w:p>
    <w:p w14:paraId="41505586" w14:textId="77777777" w:rsidR="00C41BBB" w:rsidRPr="00191D29" w:rsidRDefault="00C41BBB" w:rsidP="00780164">
      <w:pPr>
        <w:tabs>
          <w:tab w:val="clear" w:pos="851"/>
        </w:tabs>
        <w:ind w:left="1702" w:hanging="851"/>
      </w:pPr>
    </w:p>
    <w:p w14:paraId="506F1192" w14:textId="3DEF274A" w:rsidR="000727BD" w:rsidRPr="000A6875" w:rsidRDefault="00A555BF" w:rsidP="00A555BF">
      <w:pPr>
        <w:tabs>
          <w:tab w:val="clear" w:pos="851"/>
        </w:tabs>
        <w:ind w:left="1702" w:hanging="851"/>
      </w:pPr>
      <w:r w:rsidRPr="00191D29">
        <w:t>.2</w:t>
      </w:r>
      <w:r w:rsidRPr="00191D29">
        <w:tab/>
      </w:r>
      <w:r w:rsidR="00703EE3" w:rsidRPr="00191D29">
        <w:t>the</w:t>
      </w:r>
      <w:r w:rsidR="00994373" w:rsidRPr="00191D29">
        <w:t xml:space="preserve"> </w:t>
      </w:r>
      <w:r w:rsidR="00467CEB" w:rsidRPr="00191D29">
        <w:t xml:space="preserve">maritime GHG </w:t>
      </w:r>
      <w:r w:rsidR="00EE7A4C" w:rsidRPr="00191D29">
        <w:t xml:space="preserve">emissions </w:t>
      </w:r>
      <w:r w:rsidR="00467CEB" w:rsidRPr="00191D29">
        <w:t xml:space="preserve">pricing mechanism </w:t>
      </w:r>
      <w:r w:rsidR="003C0440" w:rsidRPr="00191D29">
        <w:t>should be based on a flat rate contribution system</w:t>
      </w:r>
      <w:r w:rsidR="00534F08" w:rsidRPr="00191D29">
        <w:t xml:space="preserve"> by ships to an IMO fund</w:t>
      </w:r>
      <w:r w:rsidR="0019692F" w:rsidRPr="00191D29">
        <w:t>, per tonne of CO</w:t>
      </w:r>
      <w:r w:rsidR="0019692F" w:rsidRPr="00191D29">
        <w:rPr>
          <w:vertAlign w:val="subscript"/>
        </w:rPr>
        <w:t>2</w:t>
      </w:r>
      <w:r w:rsidR="0019692F" w:rsidRPr="00191D29">
        <w:t>e emitted</w:t>
      </w:r>
      <w:r w:rsidR="00487DE4" w:rsidRPr="00191D29">
        <w:t>,</w:t>
      </w:r>
      <w:r w:rsidR="0019692F" w:rsidRPr="00191D29">
        <w:t xml:space="preserve"> </w:t>
      </w:r>
      <w:r w:rsidR="003C0440" w:rsidRPr="00191D29">
        <w:t>that will</w:t>
      </w:r>
      <w:r w:rsidR="004B7081" w:rsidRPr="00191D29">
        <w:t>, inter alia</w:t>
      </w:r>
      <w:r w:rsidR="00341261" w:rsidRPr="00191D29">
        <w:rPr>
          <w:i/>
          <w:iCs/>
        </w:rPr>
        <w:t>,</w:t>
      </w:r>
      <w:r w:rsidR="003C0440" w:rsidRPr="00191D29">
        <w:t xml:space="preserve"> provide</w:t>
      </w:r>
      <w:r w:rsidR="00534F08" w:rsidRPr="00191D29">
        <w:t xml:space="preserve"> </w:t>
      </w:r>
      <w:r w:rsidR="003C0440" w:rsidRPr="00191D29">
        <w:t xml:space="preserve">rewards to ships that use eligible </w:t>
      </w:r>
      <w:r w:rsidR="00780164" w:rsidRPr="00191D29">
        <w:t xml:space="preserve">zero/near-zero </w:t>
      </w:r>
      <w:r w:rsidR="00487DE4" w:rsidRPr="00191D29">
        <w:t xml:space="preserve">GHG </w:t>
      </w:r>
      <w:r w:rsidR="00780164" w:rsidRPr="00191D29">
        <w:t>fuels</w:t>
      </w:r>
      <w:r w:rsidR="003C0440" w:rsidRPr="00191D29">
        <w:t xml:space="preserve">, as well as providing support to </w:t>
      </w:r>
      <w:r w:rsidR="00780164" w:rsidRPr="00191D29">
        <w:t xml:space="preserve">the maritime </w:t>
      </w:r>
      <w:r w:rsidR="003C0440" w:rsidRPr="00191D29">
        <w:t>GHG reduction efforts</w:t>
      </w:r>
      <w:r w:rsidR="004B7081" w:rsidRPr="00191D29">
        <w:t xml:space="preserve"> of </w:t>
      </w:r>
      <w:r w:rsidR="003C0440" w:rsidRPr="00191D29">
        <w:t>developing countries</w:t>
      </w:r>
      <w:r w:rsidR="004B7081" w:rsidRPr="00191D29">
        <w:t>,</w:t>
      </w:r>
      <w:r w:rsidR="003C0440" w:rsidRPr="00191D29">
        <w:t xml:space="preserve"> especially SIDS and LDCs</w:t>
      </w:r>
      <w:r w:rsidR="003E5360" w:rsidRPr="00191D29">
        <w:t xml:space="preserve">, </w:t>
      </w:r>
      <w:r w:rsidR="003E5360" w:rsidRPr="00191D29">
        <w:rPr>
          <w:rFonts w:cs="Arial"/>
          <w:szCs w:val="22"/>
        </w:rPr>
        <w:t>funding for seafarer training in developing countries and promotion of a just transition</w:t>
      </w:r>
      <w:r w:rsidR="003C0440" w:rsidRPr="00191D29">
        <w:t xml:space="preserve">; </w:t>
      </w:r>
      <w:r w:rsidRPr="00191D29">
        <w:t>and</w:t>
      </w:r>
      <w:r w:rsidR="003C0440" w:rsidRPr="00191D29">
        <w:t xml:space="preserve"> </w:t>
      </w:r>
    </w:p>
    <w:p w14:paraId="5A0E15DF" w14:textId="77777777" w:rsidR="003C0440" w:rsidRPr="00191D29" w:rsidRDefault="003C0440" w:rsidP="00717690">
      <w:pPr>
        <w:tabs>
          <w:tab w:val="clear" w:pos="851"/>
        </w:tabs>
        <w:ind w:left="1702" w:hanging="851"/>
      </w:pPr>
    </w:p>
    <w:p w14:paraId="129E3E5F" w14:textId="3CB3EF87" w:rsidR="00EE7A4C" w:rsidRPr="00191D29" w:rsidRDefault="003C0440" w:rsidP="003E56AA">
      <w:pPr>
        <w:tabs>
          <w:tab w:val="clear" w:pos="851"/>
        </w:tabs>
        <w:ind w:left="1702" w:hanging="851"/>
      </w:pPr>
      <w:r w:rsidRPr="00191D29">
        <w:t>.</w:t>
      </w:r>
      <w:r w:rsidR="00A555BF" w:rsidRPr="00191D29">
        <w:t>3</w:t>
      </w:r>
      <w:r w:rsidR="00A555BF" w:rsidRPr="00191D29">
        <w:tab/>
        <w:t>t</w:t>
      </w:r>
      <w:r w:rsidR="00AA320C" w:rsidRPr="00191D29">
        <w:t xml:space="preserve">he Group should </w:t>
      </w:r>
      <w:r w:rsidR="004B34C4" w:rsidRPr="00191D29">
        <w:t xml:space="preserve">be </w:t>
      </w:r>
      <w:r w:rsidR="00252EE3" w:rsidRPr="00191D29">
        <w:t xml:space="preserve">instructed </w:t>
      </w:r>
      <w:r w:rsidR="00A74930" w:rsidRPr="00191D29">
        <w:t xml:space="preserve">by the Committee </w:t>
      </w:r>
      <w:r w:rsidR="00252EE3" w:rsidRPr="00191D29">
        <w:t xml:space="preserve">to </w:t>
      </w:r>
      <w:r w:rsidR="00AA320C" w:rsidRPr="00191D29">
        <w:t xml:space="preserve">develop </w:t>
      </w:r>
      <w:r w:rsidR="00CB0731" w:rsidRPr="00191D29">
        <w:t xml:space="preserve">draft amendments to MARPOL Annex VI to implement </w:t>
      </w:r>
      <w:r w:rsidR="00245BDD" w:rsidRPr="00191D29">
        <w:t>a Fund and Reward (Feebate) mechanis</w:t>
      </w:r>
      <w:r w:rsidR="00B93300" w:rsidRPr="00191D29">
        <w:t xml:space="preserve">m for submission to MEPC 82, using </w:t>
      </w:r>
      <w:r w:rsidR="005D1941" w:rsidRPr="00191D29">
        <w:t xml:space="preserve">the </w:t>
      </w:r>
      <w:r w:rsidR="009F7498" w:rsidRPr="00191D29">
        <w:t xml:space="preserve">possible draft </w:t>
      </w:r>
      <w:r w:rsidR="005D1941" w:rsidRPr="00191D29">
        <w:t xml:space="preserve">text </w:t>
      </w:r>
      <w:r w:rsidR="00CE46DC" w:rsidRPr="00191D29">
        <w:t xml:space="preserve">set out </w:t>
      </w:r>
      <w:r w:rsidR="00022D02" w:rsidRPr="00191D29">
        <w:t>i</w:t>
      </w:r>
      <w:r w:rsidR="005D1941" w:rsidRPr="00191D29">
        <w:t>n the annex</w:t>
      </w:r>
      <w:r w:rsidR="00872440" w:rsidRPr="00191D29">
        <w:t>es</w:t>
      </w:r>
      <w:r w:rsidR="005D1941" w:rsidRPr="00191D29">
        <w:t xml:space="preserve"> to this document, together with </w:t>
      </w:r>
      <w:r w:rsidR="0020164C" w:rsidRPr="00191D29">
        <w:t xml:space="preserve">possible </w:t>
      </w:r>
      <w:r w:rsidR="00FC4330" w:rsidRPr="00191D29">
        <w:t xml:space="preserve">draft </w:t>
      </w:r>
      <w:r w:rsidR="005D1941" w:rsidRPr="00191D29">
        <w:t>text included with other detailed regulatory proposals which use a flat contribution mechanism per tonne of CO</w:t>
      </w:r>
      <w:r w:rsidR="005D1941" w:rsidRPr="00191D29">
        <w:rPr>
          <w:vertAlign w:val="subscript"/>
        </w:rPr>
        <w:t>2</w:t>
      </w:r>
      <w:r w:rsidR="005D1941" w:rsidRPr="00191D29">
        <w:t xml:space="preserve">e emitted, as may be updated </w:t>
      </w:r>
      <w:r w:rsidR="00230AEB" w:rsidRPr="00191D29">
        <w:t>and/</w:t>
      </w:r>
      <w:r w:rsidR="005D1941" w:rsidRPr="00191D29">
        <w:t xml:space="preserve">or supplemented in any further submissions to ISWG-GHG 16. </w:t>
      </w:r>
    </w:p>
    <w:p w14:paraId="2A17FE73" w14:textId="77777777" w:rsidR="00EE7A4C" w:rsidRPr="00191D29" w:rsidRDefault="00EE7A4C" w:rsidP="003E56AA">
      <w:pPr>
        <w:tabs>
          <w:tab w:val="clear" w:pos="851"/>
        </w:tabs>
        <w:ind w:left="1702" w:hanging="851"/>
      </w:pPr>
    </w:p>
    <w:p w14:paraId="2E77FD64" w14:textId="5BCB8772" w:rsidR="005D1941" w:rsidRPr="00191D29" w:rsidRDefault="005D1941" w:rsidP="003E56AA">
      <w:pPr>
        <w:tabs>
          <w:tab w:val="clear" w:pos="851"/>
        </w:tabs>
        <w:ind w:left="1702" w:hanging="851"/>
      </w:pPr>
      <w:r w:rsidRPr="00191D29">
        <w:t xml:space="preserve">  </w:t>
      </w:r>
    </w:p>
    <w:p w14:paraId="713D96A7" w14:textId="77777777" w:rsidR="003C0440" w:rsidRPr="00191D29" w:rsidRDefault="003C0440" w:rsidP="003C0440">
      <w:pPr>
        <w:tabs>
          <w:tab w:val="clear" w:pos="851"/>
        </w:tabs>
        <w:rPr>
          <w:strike/>
        </w:rPr>
      </w:pPr>
    </w:p>
    <w:p w14:paraId="5BC334A6" w14:textId="5479D4F7" w:rsidR="000A45AC" w:rsidRPr="00191D29" w:rsidRDefault="003C0440" w:rsidP="004656F3">
      <w:pPr>
        <w:tabs>
          <w:tab w:val="clear" w:pos="851"/>
        </w:tabs>
        <w:jc w:val="center"/>
        <w:sectPr w:rsidR="000A45AC" w:rsidRPr="00191D29" w:rsidSect="00DF3E2F">
          <w:headerReference w:type="even" r:id="rId26"/>
          <w:footnotePr>
            <w:numRestart w:val="eachSect"/>
          </w:footnotePr>
          <w:type w:val="continuous"/>
          <w:pgSz w:w="11906" w:h="16838"/>
          <w:pgMar w:top="1440" w:right="1440" w:bottom="1440" w:left="1440" w:header="709" w:footer="709" w:gutter="0"/>
          <w:pgNumType w:start="1"/>
          <w:cols w:space="708"/>
          <w:titlePg/>
          <w:docGrid w:linePitch="360"/>
        </w:sectPr>
      </w:pPr>
      <w:r w:rsidRPr="00191D29">
        <w:t>***</w:t>
      </w:r>
    </w:p>
    <w:p w14:paraId="07D86FB4" w14:textId="77777777" w:rsidR="00B04B6E" w:rsidRPr="000A6875" w:rsidRDefault="00B04B6E" w:rsidP="004656F3">
      <w:pPr>
        <w:jc w:val="center"/>
        <w:rPr>
          <w:rFonts w:cs="Arial"/>
          <w:b/>
          <w:bCs/>
          <w:szCs w:val="22"/>
        </w:rPr>
      </w:pPr>
      <w:r w:rsidRPr="000A6875">
        <w:rPr>
          <w:rFonts w:cs="Arial"/>
          <w:b/>
          <w:bCs/>
          <w:szCs w:val="22"/>
        </w:rPr>
        <w:lastRenderedPageBreak/>
        <w:t>ANNEX 1</w:t>
      </w:r>
    </w:p>
    <w:p w14:paraId="1542117A" w14:textId="77777777" w:rsidR="00B04B6E" w:rsidRPr="000A6875" w:rsidRDefault="00B04B6E" w:rsidP="00B04B6E">
      <w:pPr>
        <w:rPr>
          <w:rFonts w:cs="Arial"/>
          <w:b/>
          <w:bCs/>
          <w:szCs w:val="22"/>
        </w:rPr>
      </w:pPr>
    </w:p>
    <w:p w14:paraId="22A53AEE" w14:textId="77777777" w:rsidR="00B04B6E" w:rsidRPr="000A6875" w:rsidRDefault="00B04B6E" w:rsidP="00B04B6E">
      <w:pPr>
        <w:jc w:val="center"/>
        <w:rPr>
          <w:rFonts w:cs="Arial"/>
          <w:b/>
          <w:bCs/>
          <w:caps/>
          <w:szCs w:val="22"/>
        </w:rPr>
      </w:pPr>
      <w:r w:rsidRPr="000A6875">
        <w:rPr>
          <w:rFonts w:cs="Arial"/>
          <w:b/>
          <w:bCs/>
          <w:caps/>
          <w:szCs w:val="22"/>
        </w:rPr>
        <w:t>Possible Draft Amendments to MARPOL Annex VI</w:t>
      </w:r>
    </w:p>
    <w:p w14:paraId="37D28C7C" w14:textId="77777777" w:rsidR="00B04B6E" w:rsidRPr="000A6875" w:rsidRDefault="00B04B6E" w:rsidP="00B04B6E">
      <w:pPr>
        <w:jc w:val="center"/>
        <w:rPr>
          <w:rFonts w:cs="Arial"/>
          <w:b/>
          <w:bCs/>
          <w:szCs w:val="22"/>
        </w:rPr>
      </w:pPr>
      <w:r w:rsidRPr="000A6875">
        <w:rPr>
          <w:rFonts w:cs="Arial"/>
          <w:b/>
          <w:bCs/>
          <w:szCs w:val="22"/>
        </w:rPr>
        <w:t xml:space="preserve">(Establishment of Fund and Reward (Feebate) Mechanism, Zero Emission Shipping Fund, and IMO (GHG) Maritime Sustainability Fund) </w:t>
      </w:r>
    </w:p>
    <w:p w14:paraId="23644A97" w14:textId="77777777" w:rsidR="00B04B6E" w:rsidRPr="000A6875" w:rsidRDefault="00B04B6E" w:rsidP="00B04B6E">
      <w:pPr>
        <w:rPr>
          <w:rFonts w:cs="Arial"/>
          <w:szCs w:val="22"/>
        </w:rPr>
      </w:pPr>
    </w:p>
    <w:p w14:paraId="598E38A7" w14:textId="77777777" w:rsidR="00B04B6E" w:rsidRPr="000A6875" w:rsidRDefault="00B04B6E" w:rsidP="00B04B6E">
      <w:pPr>
        <w:rPr>
          <w:rFonts w:cs="Arial"/>
          <w:b/>
          <w:bCs/>
          <w:szCs w:val="22"/>
        </w:rPr>
      </w:pPr>
      <w:r w:rsidRPr="000A6875">
        <w:rPr>
          <w:rFonts w:cs="Arial"/>
          <w:b/>
          <w:bCs/>
          <w:szCs w:val="22"/>
        </w:rPr>
        <w:t>Regulation 6</w:t>
      </w:r>
    </w:p>
    <w:p w14:paraId="4020488B" w14:textId="77777777" w:rsidR="00B04B6E" w:rsidRPr="000A6875" w:rsidRDefault="00B04B6E" w:rsidP="00B04B6E">
      <w:pPr>
        <w:rPr>
          <w:rFonts w:cs="Arial"/>
          <w:szCs w:val="22"/>
        </w:rPr>
      </w:pPr>
    </w:p>
    <w:p w14:paraId="318BC939" w14:textId="77777777" w:rsidR="00B04B6E" w:rsidRPr="000A6875" w:rsidRDefault="00B04B6E" w:rsidP="00B04B6E">
      <w:pPr>
        <w:rPr>
          <w:rFonts w:cs="Arial"/>
          <w:szCs w:val="22"/>
        </w:rPr>
      </w:pPr>
      <w:r w:rsidRPr="000A6875">
        <w:rPr>
          <w:rFonts w:cs="Arial"/>
          <w:szCs w:val="22"/>
        </w:rPr>
        <w:t xml:space="preserve">The title of the regulation is amended (deletion shown as </w:t>
      </w:r>
      <w:r w:rsidRPr="000A6875">
        <w:rPr>
          <w:rFonts w:cs="Arial"/>
          <w:strike/>
          <w:szCs w:val="22"/>
        </w:rPr>
        <w:t>strikethrough</w:t>
      </w:r>
      <w:r w:rsidRPr="000A6875">
        <w:rPr>
          <w:rFonts w:cs="Arial"/>
          <w:szCs w:val="22"/>
        </w:rPr>
        <w:t xml:space="preserve">, addition shown </w:t>
      </w:r>
      <w:r w:rsidRPr="000A6875">
        <w:rPr>
          <w:rFonts w:cs="Arial"/>
          <w:szCs w:val="22"/>
          <w:u w:val="single"/>
        </w:rPr>
        <w:t>underlined</w:t>
      </w:r>
      <w:r w:rsidRPr="000A6875">
        <w:rPr>
          <w:rFonts w:cs="Arial"/>
          <w:szCs w:val="22"/>
        </w:rPr>
        <w:t>) as follows:</w:t>
      </w:r>
    </w:p>
    <w:p w14:paraId="5AB3698B" w14:textId="77777777" w:rsidR="00B04B6E" w:rsidRPr="000A6875" w:rsidRDefault="00B04B6E" w:rsidP="00B04B6E">
      <w:pPr>
        <w:rPr>
          <w:rFonts w:cs="Arial"/>
          <w:szCs w:val="22"/>
        </w:rPr>
      </w:pPr>
    </w:p>
    <w:p w14:paraId="2FE4F188" w14:textId="77777777" w:rsidR="00B04B6E" w:rsidRPr="000A6875" w:rsidRDefault="00B04B6E" w:rsidP="00B04B6E">
      <w:pPr>
        <w:rPr>
          <w:rFonts w:cs="Arial"/>
          <w:i/>
          <w:iCs/>
          <w:szCs w:val="22"/>
        </w:rPr>
      </w:pPr>
      <w:r w:rsidRPr="000A6875">
        <w:rPr>
          <w:rFonts w:cs="Arial"/>
          <w:i/>
          <w:iCs/>
          <w:szCs w:val="22"/>
        </w:rPr>
        <w:t>Issue or endorsement of Certificates and Statements of Compliance related to fuel oil consumption reporting</w:t>
      </w:r>
      <w:r w:rsidRPr="000A6875">
        <w:rPr>
          <w:rFonts w:cs="Arial"/>
          <w:i/>
          <w:iCs/>
          <w:strike/>
          <w:szCs w:val="22"/>
        </w:rPr>
        <w:t>, and</w:t>
      </w:r>
      <w:r w:rsidRPr="000A6875">
        <w:rPr>
          <w:rFonts w:cs="Arial"/>
          <w:i/>
          <w:iCs/>
          <w:szCs w:val="22"/>
        </w:rPr>
        <w:t xml:space="preserve"> operational carbon intensity rating </w:t>
      </w:r>
      <w:r w:rsidRPr="000A6875">
        <w:rPr>
          <w:rFonts w:cs="Arial"/>
          <w:i/>
          <w:iCs/>
          <w:szCs w:val="22"/>
          <w:u w:val="single"/>
        </w:rPr>
        <w:t>and the Zero Emission Shipping Fund (ZESF)</w:t>
      </w:r>
    </w:p>
    <w:p w14:paraId="7D12C7CB" w14:textId="77777777" w:rsidR="00B04B6E" w:rsidRPr="00191D29" w:rsidRDefault="00B04B6E" w:rsidP="00B04B6E">
      <w:pPr>
        <w:pStyle w:val="NoSpacing"/>
      </w:pPr>
    </w:p>
    <w:p w14:paraId="5487AB55" w14:textId="77777777" w:rsidR="00B04B6E" w:rsidRPr="000A6875" w:rsidRDefault="00B04B6E" w:rsidP="00B04B6E">
      <w:pPr>
        <w:rPr>
          <w:rFonts w:cs="Arial"/>
          <w:szCs w:val="22"/>
        </w:rPr>
      </w:pPr>
      <w:r w:rsidRPr="000A6875">
        <w:rPr>
          <w:rFonts w:cs="Arial"/>
          <w:szCs w:val="22"/>
        </w:rPr>
        <w:t>A new title and paragraphs 9 and 10 are added as follows:</w:t>
      </w:r>
    </w:p>
    <w:p w14:paraId="73C4CDFE" w14:textId="77777777" w:rsidR="00B04B6E" w:rsidRPr="000A6875" w:rsidRDefault="00B04B6E" w:rsidP="00B04B6E">
      <w:pPr>
        <w:rPr>
          <w:rFonts w:cs="Arial"/>
          <w:szCs w:val="22"/>
        </w:rPr>
      </w:pPr>
    </w:p>
    <w:p w14:paraId="601F7B9D" w14:textId="4D5EC91F" w:rsidR="00B04B6E" w:rsidRPr="000A6875" w:rsidRDefault="00B04B6E" w:rsidP="00B04B6E">
      <w:pPr>
        <w:rPr>
          <w:rFonts w:cs="Arial"/>
          <w:b/>
          <w:bCs/>
          <w:szCs w:val="22"/>
        </w:rPr>
      </w:pPr>
      <w:r w:rsidRPr="000A6875">
        <w:rPr>
          <w:rFonts w:cs="Arial"/>
          <w:b/>
          <w:bCs/>
          <w:szCs w:val="22"/>
        </w:rPr>
        <w:t xml:space="preserve">Statement of Compliance – Zero </w:t>
      </w:r>
      <w:r w:rsidR="00930A86" w:rsidRPr="000A6875">
        <w:rPr>
          <w:rFonts w:cs="Arial"/>
          <w:b/>
          <w:bCs/>
          <w:szCs w:val="22"/>
        </w:rPr>
        <w:t xml:space="preserve">Emission </w:t>
      </w:r>
      <w:r w:rsidRPr="000A6875">
        <w:rPr>
          <w:rFonts w:cs="Arial"/>
          <w:b/>
          <w:bCs/>
          <w:szCs w:val="22"/>
        </w:rPr>
        <w:t>Shipping Fund (ZESF)</w:t>
      </w:r>
    </w:p>
    <w:p w14:paraId="32D61712" w14:textId="77777777" w:rsidR="00B04B6E" w:rsidRPr="000A6875" w:rsidRDefault="00B04B6E" w:rsidP="00B04B6E">
      <w:pPr>
        <w:rPr>
          <w:rFonts w:cs="Arial"/>
          <w:szCs w:val="22"/>
        </w:rPr>
      </w:pPr>
    </w:p>
    <w:p w14:paraId="5A3FC9A1" w14:textId="77777777" w:rsidR="00B04B6E" w:rsidRPr="000A6875" w:rsidRDefault="00B04B6E" w:rsidP="00B04B6E">
      <w:pPr>
        <w:rPr>
          <w:rFonts w:cs="Arial"/>
          <w:szCs w:val="22"/>
        </w:rPr>
      </w:pPr>
      <w:r w:rsidRPr="000A6875">
        <w:rPr>
          <w:rFonts w:cs="Arial"/>
          <w:szCs w:val="22"/>
        </w:rPr>
        <w:t>9</w:t>
      </w:r>
      <w:r w:rsidRPr="000A6875">
        <w:rPr>
          <w:rFonts w:cs="Arial"/>
          <w:szCs w:val="22"/>
        </w:rPr>
        <w:tab/>
        <w:t>Upon receipt of the Annual Account Statement pursuant to regulation 35.5 of this Annex, the Administration, or any organization duly authorized by it, shall determine whether the contribution has been made to the ZESF in accordance with regulation 35.1 of this Annex by verifying whether the information provided in the Annual Account Statement is consistent with the ship’s fuel oil consumption data pursuant to regulation 27.3 of this Annex and, if so, issue a Statement of Compliance related to the ZESF no later than six months from the beginning of the calendar year. In every case, the Administration assumes full responsibility for this Statement of Compliance.</w:t>
      </w:r>
    </w:p>
    <w:p w14:paraId="5C271940" w14:textId="77777777" w:rsidR="00B04B6E" w:rsidRPr="000A6875" w:rsidRDefault="00B04B6E" w:rsidP="00B04B6E">
      <w:pPr>
        <w:rPr>
          <w:rFonts w:cs="Arial"/>
          <w:szCs w:val="22"/>
        </w:rPr>
      </w:pPr>
    </w:p>
    <w:p w14:paraId="63009E70" w14:textId="77777777" w:rsidR="00B04B6E" w:rsidRPr="000A6875" w:rsidRDefault="00B04B6E" w:rsidP="00B04B6E">
      <w:pPr>
        <w:rPr>
          <w:rFonts w:cs="Arial"/>
          <w:szCs w:val="22"/>
        </w:rPr>
      </w:pPr>
      <w:r w:rsidRPr="000A6875">
        <w:rPr>
          <w:rFonts w:cs="Arial"/>
          <w:szCs w:val="22"/>
        </w:rPr>
        <w:t xml:space="preserve">10 </w:t>
      </w:r>
      <w:r w:rsidRPr="000A6875">
        <w:rPr>
          <w:rFonts w:cs="Arial"/>
          <w:szCs w:val="22"/>
        </w:rPr>
        <w:tab/>
        <w:t>With respect to a ship not registered in a Party to this Annex, the Statement of Compliance related to the ZESF may be issued by the appropriate Administration of any Party to this Annex, if satisfied that the contribution required under regulation 35.1 of this Annex has been made to the ZESF for the previous calendar year for that ship. A Statement of Compliance so issued shall have the same force and receive the same recognition as a Statement of Compliance issued under paragraph 9 of this regulation.</w:t>
      </w:r>
    </w:p>
    <w:p w14:paraId="29CB2800" w14:textId="77777777" w:rsidR="00B04B6E" w:rsidRPr="000A6875" w:rsidRDefault="00B04B6E" w:rsidP="00B04B6E">
      <w:pPr>
        <w:rPr>
          <w:rFonts w:cs="Arial"/>
          <w:szCs w:val="22"/>
        </w:rPr>
      </w:pPr>
    </w:p>
    <w:p w14:paraId="71CA3E65" w14:textId="77777777" w:rsidR="00B04B6E" w:rsidRPr="000A6875" w:rsidRDefault="00B04B6E" w:rsidP="00B04B6E">
      <w:pPr>
        <w:rPr>
          <w:rFonts w:cs="Arial"/>
          <w:b/>
          <w:bCs/>
          <w:szCs w:val="22"/>
        </w:rPr>
      </w:pPr>
      <w:r w:rsidRPr="000A6875">
        <w:rPr>
          <w:rFonts w:cs="Arial"/>
          <w:b/>
          <w:bCs/>
          <w:szCs w:val="22"/>
        </w:rPr>
        <w:t>Regulation 8</w:t>
      </w:r>
    </w:p>
    <w:p w14:paraId="76C8A3F2" w14:textId="77777777" w:rsidR="00B04B6E" w:rsidRPr="000A6875" w:rsidRDefault="00B04B6E" w:rsidP="00B04B6E">
      <w:pPr>
        <w:rPr>
          <w:rFonts w:cs="Arial"/>
          <w:szCs w:val="22"/>
        </w:rPr>
      </w:pPr>
    </w:p>
    <w:p w14:paraId="0A46737A" w14:textId="77777777" w:rsidR="00B04B6E" w:rsidRPr="000A6875" w:rsidRDefault="00B04B6E" w:rsidP="00B04B6E">
      <w:pPr>
        <w:rPr>
          <w:rFonts w:cs="Arial"/>
          <w:szCs w:val="22"/>
        </w:rPr>
      </w:pPr>
      <w:r w:rsidRPr="000A6875">
        <w:rPr>
          <w:rFonts w:cs="Arial"/>
          <w:szCs w:val="22"/>
        </w:rPr>
        <w:t xml:space="preserve">The title of the regulation is amended (deletion shown as </w:t>
      </w:r>
      <w:r w:rsidRPr="000A6875">
        <w:rPr>
          <w:rFonts w:cs="Arial"/>
          <w:strike/>
          <w:szCs w:val="22"/>
        </w:rPr>
        <w:t>strikethrough</w:t>
      </w:r>
      <w:r w:rsidRPr="000A6875">
        <w:rPr>
          <w:rFonts w:cs="Arial"/>
          <w:szCs w:val="22"/>
        </w:rPr>
        <w:t xml:space="preserve">, addition shown </w:t>
      </w:r>
      <w:r w:rsidRPr="000A6875">
        <w:rPr>
          <w:rFonts w:cs="Arial"/>
          <w:szCs w:val="22"/>
          <w:u w:val="single"/>
        </w:rPr>
        <w:t>underlined</w:t>
      </w:r>
      <w:r w:rsidRPr="000A6875">
        <w:rPr>
          <w:rFonts w:cs="Arial"/>
          <w:szCs w:val="22"/>
        </w:rPr>
        <w:t>) as follows:</w:t>
      </w:r>
    </w:p>
    <w:p w14:paraId="4BC8CCD6" w14:textId="77777777" w:rsidR="00B04B6E" w:rsidRPr="000A6875" w:rsidRDefault="00B04B6E" w:rsidP="00B04B6E">
      <w:pPr>
        <w:rPr>
          <w:rFonts w:cs="Arial"/>
          <w:szCs w:val="22"/>
        </w:rPr>
      </w:pPr>
    </w:p>
    <w:p w14:paraId="71670C73" w14:textId="77777777" w:rsidR="00B04B6E" w:rsidRPr="000A6875" w:rsidRDefault="00B04B6E" w:rsidP="00B04B6E">
      <w:pPr>
        <w:rPr>
          <w:rFonts w:cs="Arial"/>
          <w:i/>
          <w:iCs/>
          <w:szCs w:val="22"/>
        </w:rPr>
      </w:pPr>
      <w:r w:rsidRPr="000A6875">
        <w:rPr>
          <w:rFonts w:cs="Arial"/>
          <w:i/>
          <w:iCs/>
          <w:szCs w:val="22"/>
        </w:rPr>
        <w:t>Form of Certificates and Statements of Compliance related to fuel oil consumption reporting</w:t>
      </w:r>
      <w:r w:rsidRPr="000A6875">
        <w:rPr>
          <w:rFonts w:cs="Arial"/>
          <w:i/>
          <w:iCs/>
          <w:strike/>
          <w:szCs w:val="22"/>
        </w:rPr>
        <w:t>, and</w:t>
      </w:r>
      <w:r w:rsidRPr="000A6875">
        <w:rPr>
          <w:rFonts w:cs="Arial"/>
          <w:i/>
          <w:iCs/>
          <w:szCs w:val="22"/>
        </w:rPr>
        <w:t xml:space="preserve"> operational carbon intensity rating </w:t>
      </w:r>
      <w:r w:rsidRPr="000A6875">
        <w:rPr>
          <w:rFonts w:cs="Arial"/>
          <w:i/>
          <w:iCs/>
          <w:szCs w:val="22"/>
          <w:u w:val="single"/>
        </w:rPr>
        <w:t xml:space="preserve">and the Zero Emission Shipping Fund (ZESF) </w:t>
      </w:r>
    </w:p>
    <w:p w14:paraId="19558866" w14:textId="77777777" w:rsidR="00B04B6E" w:rsidRPr="000A6875" w:rsidRDefault="00B04B6E" w:rsidP="00B04B6E">
      <w:pPr>
        <w:rPr>
          <w:rFonts w:cs="Arial"/>
          <w:szCs w:val="22"/>
        </w:rPr>
      </w:pPr>
    </w:p>
    <w:p w14:paraId="015E64D6" w14:textId="77777777" w:rsidR="00B04B6E" w:rsidRPr="000A6875" w:rsidRDefault="00B04B6E" w:rsidP="00B04B6E">
      <w:pPr>
        <w:rPr>
          <w:rFonts w:cs="Arial"/>
          <w:szCs w:val="22"/>
        </w:rPr>
      </w:pPr>
      <w:r w:rsidRPr="000A6875">
        <w:rPr>
          <w:rFonts w:cs="Arial"/>
          <w:szCs w:val="22"/>
        </w:rPr>
        <w:t>A new title and paragraph 5 are added as follows:</w:t>
      </w:r>
    </w:p>
    <w:p w14:paraId="1D4F0690" w14:textId="77777777" w:rsidR="00B04B6E" w:rsidRPr="000A6875" w:rsidRDefault="00B04B6E" w:rsidP="00B04B6E">
      <w:pPr>
        <w:rPr>
          <w:rFonts w:cs="Arial"/>
          <w:szCs w:val="22"/>
        </w:rPr>
      </w:pPr>
    </w:p>
    <w:p w14:paraId="7BBB8B37" w14:textId="77777777" w:rsidR="00B04B6E" w:rsidRPr="000A6875" w:rsidRDefault="00B04B6E" w:rsidP="00B04B6E">
      <w:pPr>
        <w:rPr>
          <w:rFonts w:cs="Arial"/>
          <w:b/>
          <w:bCs/>
          <w:szCs w:val="22"/>
        </w:rPr>
      </w:pPr>
      <w:r w:rsidRPr="000A6875">
        <w:rPr>
          <w:rFonts w:cs="Arial"/>
          <w:b/>
          <w:bCs/>
          <w:szCs w:val="22"/>
        </w:rPr>
        <w:t>Statement of Compliance – Zero Emission Shipping Fund (ZESF)</w:t>
      </w:r>
    </w:p>
    <w:p w14:paraId="64D8BE91" w14:textId="77777777" w:rsidR="00B04B6E" w:rsidRPr="000A6875" w:rsidRDefault="00B04B6E" w:rsidP="00B04B6E">
      <w:pPr>
        <w:rPr>
          <w:rFonts w:cs="Arial"/>
          <w:szCs w:val="22"/>
        </w:rPr>
      </w:pPr>
    </w:p>
    <w:p w14:paraId="6A13B364" w14:textId="77777777" w:rsidR="00B04B6E" w:rsidRPr="000A6875" w:rsidRDefault="00B04B6E" w:rsidP="00B04B6E">
      <w:pPr>
        <w:rPr>
          <w:rFonts w:cs="Arial"/>
          <w:szCs w:val="22"/>
        </w:rPr>
      </w:pPr>
      <w:r w:rsidRPr="000A6875">
        <w:rPr>
          <w:rFonts w:cs="Arial"/>
          <w:szCs w:val="22"/>
        </w:rPr>
        <w:t>5</w:t>
      </w:r>
      <w:r w:rsidRPr="000A6875">
        <w:rPr>
          <w:rFonts w:cs="Arial"/>
          <w:szCs w:val="22"/>
        </w:rPr>
        <w:tab/>
        <w:t>The Statement of Compliance pursuant to regulations 6.9 and 6.10 of this Annex shall be drawn up in a form corresponding to the model given in appendix [XII] to this Annex and shall at least be written in English, French or Spanish. If an official language of the issuing country is also used, this shall prevail in case of a dispute or discrepancy.</w:t>
      </w:r>
    </w:p>
    <w:p w14:paraId="10D5E0B1" w14:textId="77777777" w:rsidR="00B04B6E" w:rsidRPr="000A6875" w:rsidRDefault="00B04B6E" w:rsidP="00B04B6E">
      <w:pPr>
        <w:rPr>
          <w:rFonts w:cs="Arial"/>
          <w:szCs w:val="22"/>
        </w:rPr>
      </w:pPr>
    </w:p>
    <w:p w14:paraId="6551B625" w14:textId="77777777" w:rsidR="00B04B6E" w:rsidRPr="000A6875" w:rsidRDefault="00B04B6E" w:rsidP="004656F3">
      <w:pPr>
        <w:keepNext/>
        <w:keepLines/>
        <w:rPr>
          <w:rFonts w:cs="Arial"/>
          <w:b/>
          <w:bCs/>
          <w:szCs w:val="22"/>
        </w:rPr>
      </w:pPr>
      <w:r w:rsidRPr="000A6875">
        <w:rPr>
          <w:rFonts w:cs="Arial"/>
          <w:b/>
          <w:bCs/>
          <w:szCs w:val="22"/>
        </w:rPr>
        <w:lastRenderedPageBreak/>
        <w:t>Regulation 9</w:t>
      </w:r>
    </w:p>
    <w:p w14:paraId="0AC5926B" w14:textId="77777777" w:rsidR="00B04B6E" w:rsidRPr="000A6875" w:rsidRDefault="00B04B6E" w:rsidP="004656F3">
      <w:pPr>
        <w:keepNext/>
        <w:keepLines/>
        <w:rPr>
          <w:rFonts w:cs="Arial"/>
          <w:szCs w:val="22"/>
        </w:rPr>
      </w:pPr>
    </w:p>
    <w:p w14:paraId="588ED8B4" w14:textId="77777777" w:rsidR="00B04B6E" w:rsidRPr="000A6875" w:rsidRDefault="00B04B6E" w:rsidP="004656F3">
      <w:pPr>
        <w:keepNext/>
        <w:keepLines/>
        <w:rPr>
          <w:rFonts w:cs="Arial"/>
          <w:szCs w:val="22"/>
        </w:rPr>
      </w:pPr>
      <w:r w:rsidRPr="000A6875">
        <w:rPr>
          <w:rFonts w:cs="Arial"/>
          <w:szCs w:val="22"/>
        </w:rPr>
        <w:t xml:space="preserve">The title of the regulation is amended (deletion shown as </w:t>
      </w:r>
      <w:r w:rsidRPr="000A6875">
        <w:rPr>
          <w:rFonts w:cs="Arial"/>
          <w:strike/>
          <w:szCs w:val="22"/>
        </w:rPr>
        <w:t>strikethrough</w:t>
      </w:r>
      <w:r w:rsidRPr="000A6875">
        <w:rPr>
          <w:rFonts w:cs="Arial"/>
          <w:szCs w:val="22"/>
        </w:rPr>
        <w:t xml:space="preserve">, addition shown </w:t>
      </w:r>
      <w:r w:rsidRPr="000A6875">
        <w:rPr>
          <w:rFonts w:cs="Arial"/>
          <w:szCs w:val="22"/>
          <w:u w:val="single"/>
        </w:rPr>
        <w:t>underlined</w:t>
      </w:r>
      <w:r w:rsidRPr="000A6875">
        <w:rPr>
          <w:rFonts w:cs="Arial"/>
          <w:szCs w:val="22"/>
        </w:rPr>
        <w:t>) as follows:</w:t>
      </w:r>
    </w:p>
    <w:p w14:paraId="7B1C5651" w14:textId="77777777" w:rsidR="00B04B6E" w:rsidRPr="000A6875" w:rsidRDefault="00B04B6E" w:rsidP="00B04B6E">
      <w:pPr>
        <w:rPr>
          <w:rFonts w:cs="Arial"/>
          <w:szCs w:val="22"/>
        </w:rPr>
      </w:pPr>
    </w:p>
    <w:p w14:paraId="092854F8" w14:textId="77777777" w:rsidR="00B04B6E" w:rsidRPr="000A6875" w:rsidRDefault="00B04B6E" w:rsidP="00B04B6E">
      <w:pPr>
        <w:rPr>
          <w:rFonts w:cs="Arial"/>
          <w:i/>
          <w:iCs/>
          <w:szCs w:val="22"/>
        </w:rPr>
      </w:pPr>
      <w:r w:rsidRPr="000A6875">
        <w:rPr>
          <w:rFonts w:cs="Arial"/>
          <w:i/>
          <w:iCs/>
          <w:szCs w:val="22"/>
        </w:rPr>
        <w:t>Duration and validity of Certificates and Statements of Compliance related to fuel oil consumption reporting</w:t>
      </w:r>
      <w:r w:rsidRPr="000A6875">
        <w:rPr>
          <w:rFonts w:cs="Arial"/>
          <w:i/>
          <w:iCs/>
          <w:strike/>
          <w:szCs w:val="22"/>
        </w:rPr>
        <w:t>, and</w:t>
      </w:r>
      <w:r w:rsidRPr="000A6875">
        <w:rPr>
          <w:rFonts w:cs="Arial"/>
          <w:i/>
          <w:iCs/>
          <w:szCs w:val="22"/>
        </w:rPr>
        <w:t xml:space="preserve"> operational carbon intensity rating </w:t>
      </w:r>
      <w:r w:rsidRPr="000A6875">
        <w:rPr>
          <w:rFonts w:cs="Arial"/>
          <w:i/>
          <w:iCs/>
          <w:szCs w:val="22"/>
          <w:u w:val="single"/>
        </w:rPr>
        <w:t>and the Zero Emission Shipping Fund (ZESF)</w:t>
      </w:r>
    </w:p>
    <w:p w14:paraId="6B50652A" w14:textId="77777777" w:rsidR="00B04B6E" w:rsidRPr="000A6875" w:rsidRDefault="00B04B6E" w:rsidP="00B04B6E">
      <w:pPr>
        <w:rPr>
          <w:rFonts w:cs="Arial"/>
          <w:szCs w:val="22"/>
        </w:rPr>
      </w:pPr>
    </w:p>
    <w:p w14:paraId="0645E982" w14:textId="77777777" w:rsidR="00B04B6E" w:rsidRPr="000A6875" w:rsidRDefault="00B04B6E" w:rsidP="00B04B6E">
      <w:pPr>
        <w:rPr>
          <w:rFonts w:cs="Arial"/>
          <w:szCs w:val="22"/>
        </w:rPr>
      </w:pPr>
      <w:r w:rsidRPr="000A6875">
        <w:rPr>
          <w:rFonts w:cs="Arial"/>
          <w:szCs w:val="22"/>
        </w:rPr>
        <w:t>A new title and paragraph 13 are added as follows:</w:t>
      </w:r>
    </w:p>
    <w:p w14:paraId="431BCD69" w14:textId="77777777" w:rsidR="00B04B6E" w:rsidRPr="000A6875" w:rsidRDefault="00B04B6E" w:rsidP="00B04B6E">
      <w:pPr>
        <w:rPr>
          <w:rFonts w:cs="Arial"/>
          <w:szCs w:val="22"/>
        </w:rPr>
      </w:pPr>
    </w:p>
    <w:p w14:paraId="1CA3FCEE" w14:textId="77777777" w:rsidR="00B04B6E" w:rsidRPr="000A6875" w:rsidRDefault="00B04B6E" w:rsidP="00B04B6E">
      <w:pPr>
        <w:rPr>
          <w:rFonts w:cs="Arial"/>
          <w:b/>
          <w:bCs/>
          <w:szCs w:val="22"/>
        </w:rPr>
      </w:pPr>
      <w:r w:rsidRPr="000A6875">
        <w:rPr>
          <w:rFonts w:cs="Arial"/>
          <w:b/>
          <w:bCs/>
          <w:szCs w:val="22"/>
        </w:rPr>
        <w:t>Statement of Compliance – Zero Emission Shipping Fund (ZESF)</w:t>
      </w:r>
    </w:p>
    <w:p w14:paraId="5A2AEA63" w14:textId="77777777" w:rsidR="00B04B6E" w:rsidRPr="000A6875" w:rsidRDefault="00B04B6E" w:rsidP="00B04B6E">
      <w:pPr>
        <w:rPr>
          <w:rFonts w:cs="Arial"/>
          <w:szCs w:val="22"/>
        </w:rPr>
      </w:pPr>
    </w:p>
    <w:p w14:paraId="3B6EAD16" w14:textId="77777777" w:rsidR="00B04B6E" w:rsidRPr="000A6875" w:rsidRDefault="00B04B6E" w:rsidP="00B04B6E">
      <w:pPr>
        <w:rPr>
          <w:rFonts w:cs="Arial"/>
          <w:szCs w:val="22"/>
        </w:rPr>
      </w:pPr>
      <w:r w:rsidRPr="000A6875">
        <w:rPr>
          <w:rFonts w:cs="Arial"/>
          <w:szCs w:val="22"/>
        </w:rPr>
        <w:t>13</w:t>
      </w:r>
      <w:r w:rsidRPr="000A6875">
        <w:rPr>
          <w:rFonts w:cs="Arial"/>
          <w:szCs w:val="22"/>
        </w:rPr>
        <w:tab/>
        <w:t>The Statement of Compliance issued pursuant to regulations 6.9 and 6.10 of this Annex shall be valid for the calendar year in which it is issued and for the first six months of the following calendar year. All Statements of Compliance shall be kept on board for at least five years.</w:t>
      </w:r>
    </w:p>
    <w:p w14:paraId="1FF2E5A8" w14:textId="77777777" w:rsidR="00B04B6E" w:rsidRPr="000A6875" w:rsidRDefault="00B04B6E" w:rsidP="00B04B6E">
      <w:pPr>
        <w:rPr>
          <w:rFonts w:cs="Arial"/>
          <w:szCs w:val="22"/>
        </w:rPr>
      </w:pPr>
    </w:p>
    <w:p w14:paraId="44612E81" w14:textId="77777777" w:rsidR="00B04B6E" w:rsidRPr="000A6875" w:rsidRDefault="00B04B6E" w:rsidP="00B04B6E">
      <w:pPr>
        <w:rPr>
          <w:rFonts w:cs="Arial"/>
          <w:b/>
          <w:bCs/>
          <w:szCs w:val="22"/>
        </w:rPr>
      </w:pPr>
      <w:r w:rsidRPr="000A6875">
        <w:rPr>
          <w:rFonts w:cs="Arial"/>
          <w:b/>
          <w:bCs/>
          <w:szCs w:val="22"/>
        </w:rPr>
        <w:t>Regulation 10</w:t>
      </w:r>
    </w:p>
    <w:p w14:paraId="5F41E7D9" w14:textId="77777777" w:rsidR="00B04B6E" w:rsidRPr="000A6875" w:rsidRDefault="00B04B6E" w:rsidP="00B04B6E">
      <w:pPr>
        <w:rPr>
          <w:rFonts w:cs="Arial"/>
          <w:b/>
          <w:bCs/>
          <w:szCs w:val="22"/>
        </w:rPr>
      </w:pPr>
    </w:p>
    <w:p w14:paraId="7E6859A1" w14:textId="77777777" w:rsidR="00B04B6E" w:rsidRPr="000A6875" w:rsidRDefault="00B04B6E" w:rsidP="00B04B6E">
      <w:pPr>
        <w:rPr>
          <w:rFonts w:cs="Arial"/>
          <w:i/>
          <w:iCs/>
          <w:szCs w:val="22"/>
        </w:rPr>
      </w:pPr>
      <w:r w:rsidRPr="000A6875">
        <w:rPr>
          <w:rFonts w:cs="Arial"/>
          <w:i/>
          <w:iCs/>
          <w:szCs w:val="22"/>
        </w:rPr>
        <w:t>Port State control on operational requirements</w:t>
      </w:r>
    </w:p>
    <w:p w14:paraId="0443619D" w14:textId="77777777" w:rsidR="00B04B6E" w:rsidRPr="000A6875" w:rsidRDefault="00B04B6E" w:rsidP="00B04B6E">
      <w:pPr>
        <w:rPr>
          <w:rFonts w:cs="Arial"/>
          <w:szCs w:val="22"/>
        </w:rPr>
      </w:pPr>
    </w:p>
    <w:p w14:paraId="28047BB5" w14:textId="77777777" w:rsidR="00B04B6E" w:rsidRPr="000A6875" w:rsidRDefault="00B04B6E" w:rsidP="00B04B6E">
      <w:pPr>
        <w:rPr>
          <w:rFonts w:cs="Arial"/>
          <w:szCs w:val="22"/>
        </w:rPr>
      </w:pPr>
      <w:r w:rsidRPr="000A6875">
        <w:rPr>
          <w:rFonts w:cs="Arial"/>
          <w:szCs w:val="22"/>
        </w:rPr>
        <w:t>A new paragraph 7 is added as follows:</w:t>
      </w:r>
    </w:p>
    <w:p w14:paraId="4F0AA705" w14:textId="77777777" w:rsidR="00B04B6E" w:rsidRPr="000A6875" w:rsidRDefault="00B04B6E" w:rsidP="00B04B6E">
      <w:pPr>
        <w:rPr>
          <w:rFonts w:cs="Arial"/>
          <w:szCs w:val="22"/>
        </w:rPr>
      </w:pPr>
    </w:p>
    <w:p w14:paraId="66B6439B" w14:textId="77777777" w:rsidR="00B04B6E" w:rsidRPr="000A6875" w:rsidRDefault="00B04B6E" w:rsidP="00B04B6E">
      <w:pPr>
        <w:rPr>
          <w:rFonts w:cs="Arial"/>
          <w:szCs w:val="22"/>
        </w:rPr>
      </w:pPr>
      <w:r w:rsidRPr="000A6875">
        <w:rPr>
          <w:rFonts w:cs="Arial"/>
          <w:szCs w:val="22"/>
        </w:rPr>
        <w:t>7</w:t>
      </w:r>
      <w:r w:rsidRPr="000A6875">
        <w:rPr>
          <w:rFonts w:cs="Arial"/>
          <w:szCs w:val="22"/>
        </w:rPr>
        <w:tab/>
        <w:t>In relation to chapter 6 of this Annex, any port State inspection shall be limited to verifying, when appropriate, that there is a valid Statement of Compliance related to the ZESF on board, in accordance with article 5 of the present Convention.</w:t>
      </w:r>
    </w:p>
    <w:p w14:paraId="794C7483" w14:textId="77777777" w:rsidR="00B04B6E" w:rsidRPr="000A6875" w:rsidRDefault="00B04B6E" w:rsidP="00B04B6E">
      <w:pPr>
        <w:rPr>
          <w:rFonts w:cs="Arial"/>
          <w:szCs w:val="22"/>
        </w:rPr>
      </w:pPr>
    </w:p>
    <w:p w14:paraId="051EB251" w14:textId="77777777" w:rsidR="00B04B6E" w:rsidRPr="000A6875" w:rsidRDefault="00B04B6E" w:rsidP="00B04B6E">
      <w:pPr>
        <w:rPr>
          <w:rFonts w:cs="Arial"/>
          <w:szCs w:val="22"/>
        </w:rPr>
      </w:pPr>
      <w:r w:rsidRPr="000A6875">
        <w:rPr>
          <w:rFonts w:cs="Arial"/>
          <w:szCs w:val="22"/>
        </w:rPr>
        <w:t>A new chapter 6 is added as follows:</w:t>
      </w:r>
    </w:p>
    <w:p w14:paraId="05AB701F" w14:textId="77777777" w:rsidR="00B04B6E" w:rsidRPr="000A6875" w:rsidRDefault="00B04B6E" w:rsidP="00B04B6E">
      <w:pPr>
        <w:rPr>
          <w:rFonts w:cs="Arial"/>
          <w:szCs w:val="22"/>
        </w:rPr>
      </w:pPr>
    </w:p>
    <w:p w14:paraId="1CF90C90" w14:textId="77777777" w:rsidR="00B04B6E" w:rsidRPr="000A6875" w:rsidRDefault="00B04B6E" w:rsidP="00B04B6E">
      <w:pPr>
        <w:rPr>
          <w:rFonts w:cs="Arial"/>
          <w:b/>
          <w:bCs/>
          <w:szCs w:val="22"/>
        </w:rPr>
      </w:pPr>
      <w:r w:rsidRPr="000A6875">
        <w:rPr>
          <w:rFonts w:cs="Arial"/>
          <w:b/>
          <w:bCs/>
          <w:szCs w:val="22"/>
        </w:rPr>
        <w:t>Chapter 6 – Fund and Reward (Feebate) Mechanism</w:t>
      </w:r>
    </w:p>
    <w:p w14:paraId="1963A5BD" w14:textId="77777777" w:rsidR="00B04B6E" w:rsidRPr="000A6875" w:rsidRDefault="00B04B6E" w:rsidP="00B04B6E">
      <w:pPr>
        <w:rPr>
          <w:rFonts w:cs="Arial"/>
          <w:szCs w:val="22"/>
        </w:rPr>
      </w:pPr>
    </w:p>
    <w:p w14:paraId="1EDA0AB2" w14:textId="77777777" w:rsidR="00B04B6E" w:rsidRPr="000A6875" w:rsidRDefault="00B04B6E" w:rsidP="00B04B6E">
      <w:pPr>
        <w:rPr>
          <w:rFonts w:cs="Arial"/>
          <w:b/>
          <w:bCs/>
          <w:szCs w:val="22"/>
        </w:rPr>
      </w:pPr>
      <w:r w:rsidRPr="000A6875">
        <w:rPr>
          <w:rFonts w:cs="Arial"/>
          <w:b/>
          <w:bCs/>
          <w:szCs w:val="22"/>
        </w:rPr>
        <w:t>Regulation 32</w:t>
      </w:r>
    </w:p>
    <w:p w14:paraId="2DD909A2" w14:textId="77777777" w:rsidR="00B04B6E" w:rsidRPr="000A6875" w:rsidRDefault="00B04B6E" w:rsidP="00B04B6E">
      <w:pPr>
        <w:rPr>
          <w:rFonts w:cs="Arial"/>
          <w:b/>
          <w:bCs/>
          <w:szCs w:val="22"/>
        </w:rPr>
      </w:pPr>
    </w:p>
    <w:p w14:paraId="7A5363D0" w14:textId="77777777" w:rsidR="00B04B6E" w:rsidRPr="000A6875" w:rsidRDefault="00B04B6E" w:rsidP="00B04B6E">
      <w:pPr>
        <w:rPr>
          <w:rFonts w:cs="Arial"/>
          <w:i/>
          <w:iCs/>
          <w:szCs w:val="22"/>
        </w:rPr>
      </w:pPr>
      <w:r w:rsidRPr="000A6875">
        <w:rPr>
          <w:rFonts w:cs="Arial"/>
          <w:i/>
          <w:iCs/>
          <w:szCs w:val="22"/>
        </w:rPr>
        <w:t xml:space="preserve">Application </w:t>
      </w:r>
    </w:p>
    <w:p w14:paraId="6C292C34" w14:textId="77777777" w:rsidR="00B04B6E" w:rsidRPr="000A6875" w:rsidRDefault="00B04B6E" w:rsidP="00B04B6E">
      <w:pPr>
        <w:rPr>
          <w:rFonts w:cs="Arial"/>
          <w:szCs w:val="22"/>
        </w:rPr>
      </w:pPr>
    </w:p>
    <w:p w14:paraId="0291BAA9" w14:textId="4856829A" w:rsidR="00B04B6E" w:rsidRPr="000A6875" w:rsidRDefault="00B04B6E" w:rsidP="00B04B6E">
      <w:pPr>
        <w:rPr>
          <w:rFonts w:cs="Arial"/>
          <w:szCs w:val="22"/>
        </w:rPr>
      </w:pPr>
      <w:r w:rsidRPr="000A6875">
        <w:rPr>
          <w:rFonts w:cs="Arial"/>
          <w:szCs w:val="22"/>
        </w:rPr>
        <w:t>1</w:t>
      </w:r>
      <w:r w:rsidRPr="000A6875">
        <w:rPr>
          <w:rFonts w:cs="Arial"/>
          <w:szCs w:val="22"/>
        </w:rPr>
        <w:tab/>
        <w:t>This chapter shall apply to all ships of [5,000] gross tonnage and above.</w:t>
      </w:r>
    </w:p>
    <w:p w14:paraId="2BB28AEF" w14:textId="77777777" w:rsidR="00B04B6E" w:rsidRPr="000A6875" w:rsidRDefault="00B04B6E" w:rsidP="00B04B6E">
      <w:pPr>
        <w:rPr>
          <w:rFonts w:cs="Arial"/>
          <w:szCs w:val="22"/>
        </w:rPr>
      </w:pPr>
    </w:p>
    <w:p w14:paraId="7B88CCBD" w14:textId="77777777" w:rsidR="00B04B6E" w:rsidRPr="000A6875" w:rsidRDefault="00B04B6E" w:rsidP="00B04B6E">
      <w:pPr>
        <w:rPr>
          <w:rFonts w:cs="Arial"/>
          <w:szCs w:val="22"/>
        </w:rPr>
      </w:pPr>
      <w:r w:rsidRPr="000A6875">
        <w:rPr>
          <w:rFonts w:cs="Arial"/>
          <w:szCs w:val="22"/>
        </w:rPr>
        <w:t>2</w:t>
      </w:r>
      <w:r w:rsidRPr="000A6875">
        <w:rPr>
          <w:rFonts w:cs="Arial"/>
          <w:szCs w:val="22"/>
        </w:rPr>
        <w:tab/>
        <w:t>The provisions of this chapter shall not apply to:</w:t>
      </w:r>
    </w:p>
    <w:p w14:paraId="4A235E4E" w14:textId="77777777" w:rsidR="00B04B6E" w:rsidRPr="000A6875" w:rsidRDefault="00B04B6E" w:rsidP="00B04B6E">
      <w:pPr>
        <w:rPr>
          <w:rFonts w:cs="Arial"/>
          <w:szCs w:val="22"/>
        </w:rPr>
      </w:pPr>
    </w:p>
    <w:p w14:paraId="49E5A2B0" w14:textId="77777777" w:rsidR="00B04B6E" w:rsidRPr="000A6875" w:rsidRDefault="00B04B6E" w:rsidP="00B04B6E">
      <w:pPr>
        <w:ind w:left="1418" w:hanging="567"/>
        <w:rPr>
          <w:rFonts w:cs="Arial"/>
          <w:szCs w:val="22"/>
        </w:rPr>
      </w:pPr>
      <w:r w:rsidRPr="000A6875">
        <w:rPr>
          <w:rFonts w:cs="Arial"/>
          <w:szCs w:val="22"/>
        </w:rPr>
        <w:t>.1</w:t>
      </w:r>
      <w:r w:rsidRPr="000A6875">
        <w:rPr>
          <w:rFonts w:cs="Arial"/>
          <w:szCs w:val="22"/>
        </w:rPr>
        <w:tab/>
        <w:t xml:space="preserve">ships solely engaged in voyages within waters subject to the sovereignty or jurisdiction of the State the flag of which the ship is entitled to fly; and </w:t>
      </w:r>
    </w:p>
    <w:p w14:paraId="099F174D" w14:textId="77777777" w:rsidR="00B04B6E" w:rsidRPr="000A6875" w:rsidRDefault="00B04B6E" w:rsidP="00B04B6E">
      <w:pPr>
        <w:ind w:left="1418" w:hanging="567"/>
        <w:rPr>
          <w:rFonts w:cs="Arial"/>
          <w:szCs w:val="22"/>
        </w:rPr>
      </w:pPr>
    </w:p>
    <w:p w14:paraId="38BB6FFB" w14:textId="3F806977" w:rsidR="00B04B6E" w:rsidRPr="000A6875" w:rsidRDefault="00B04B6E" w:rsidP="004656F3">
      <w:pPr>
        <w:ind w:left="1418" w:hanging="567"/>
        <w:rPr>
          <w:rFonts w:cs="Arial"/>
          <w:szCs w:val="22"/>
        </w:rPr>
      </w:pPr>
      <w:r w:rsidRPr="000A6875">
        <w:rPr>
          <w:rFonts w:cs="Arial"/>
          <w:szCs w:val="22"/>
        </w:rPr>
        <w:t>.2</w:t>
      </w:r>
      <w:r w:rsidRPr="000A6875">
        <w:rPr>
          <w:rFonts w:cs="Arial"/>
          <w:szCs w:val="22"/>
        </w:rPr>
        <w:tab/>
        <w:t>ships not propelled by mechanical means, and platforms including FPSOs and FSUs and drilling rigs, regardless of their propulsion.</w:t>
      </w:r>
    </w:p>
    <w:p w14:paraId="09C3D005" w14:textId="77777777" w:rsidR="00B04B6E" w:rsidRPr="000A6875" w:rsidRDefault="00B04B6E" w:rsidP="00B04B6E">
      <w:pPr>
        <w:rPr>
          <w:rFonts w:cs="Arial"/>
          <w:szCs w:val="22"/>
        </w:rPr>
      </w:pPr>
    </w:p>
    <w:p w14:paraId="3D877E5B" w14:textId="77777777" w:rsidR="00B554DB" w:rsidRPr="000A6875" w:rsidRDefault="00B554DB" w:rsidP="00B04B6E">
      <w:pPr>
        <w:rPr>
          <w:rFonts w:cs="Arial"/>
          <w:szCs w:val="22"/>
        </w:rPr>
        <w:sectPr w:rsidR="00B554DB" w:rsidRPr="000A6875" w:rsidSect="00DF3E2F">
          <w:headerReference w:type="even" r:id="rId27"/>
          <w:headerReference w:type="first" r:id="rId28"/>
          <w:footnotePr>
            <w:numRestart w:val="eachSect"/>
          </w:footnotePr>
          <w:pgSz w:w="11906" w:h="16838"/>
          <w:pgMar w:top="1440" w:right="1440" w:bottom="1440" w:left="1440" w:header="709" w:footer="709" w:gutter="0"/>
          <w:pgNumType w:start="1"/>
          <w:cols w:space="708"/>
          <w:docGrid w:linePitch="360"/>
        </w:sectPr>
      </w:pPr>
    </w:p>
    <w:p w14:paraId="57BFB206" w14:textId="77777777" w:rsidR="00B04B6E" w:rsidRPr="000A6875" w:rsidRDefault="00B04B6E" w:rsidP="00B04B6E">
      <w:pPr>
        <w:rPr>
          <w:rFonts w:cs="Arial"/>
          <w:b/>
          <w:bCs/>
          <w:szCs w:val="22"/>
        </w:rPr>
      </w:pPr>
      <w:r w:rsidRPr="000A6875">
        <w:rPr>
          <w:rFonts w:cs="Arial"/>
          <w:b/>
          <w:bCs/>
          <w:szCs w:val="22"/>
        </w:rPr>
        <w:t xml:space="preserve">Regulation 33 </w:t>
      </w:r>
    </w:p>
    <w:p w14:paraId="701D6FA3" w14:textId="77777777" w:rsidR="00B04B6E" w:rsidRPr="000A6875" w:rsidRDefault="00B04B6E" w:rsidP="00B04B6E">
      <w:pPr>
        <w:rPr>
          <w:rFonts w:cs="Arial"/>
          <w:b/>
          <w:bCs/>
          <w:szCs w:val="22"/>
        </w:rPr>
      </w:pPr>
    </w:p>
    <w:p w14:paraId="3450B82D" w14:textId="77777777" w:rsidR="00B04B6E" w:rsidRPr="000A6875" w:rsidRDefault="00B04B6E" w:rsidP="00B04B6E">
      <w:pPr>
        <w:rPr>
          <w:rFonts w:cs="Arial"/>
          <w:i/>
          <w:iCs/>
          <w:szCs w:val="22"/>
        </w:rPr>
      </w:pPr>
      <w:r w:rsidRPr="000A6875">
        <w:rPr>
          <w:rFonts w:cs="Arial"/>
          <w:i/>
          <w:iCs/>
          <w:szCs w:val="22"/>
        </w:rPr>
        <w:t xml:space="preserve">Zero Emission Shipping Fund </w:t>
      </w:r>
    </w:p>
    <w:p w14:paraId="17B668D9" w14:textId="77777777" w:rsidR="00B04B6E" w:rsidRPr="000A6875" w:rsidRDefault="00B04B6E" w:rsidP="00B04B6E">
      <w:pPr>
        <w:rPr>
          <w:rFonts w:cs="Arial"/>
          <w:szCs w:val="22"/>
        </w:rPr>
      </w:pPr>
    </w:p>
    <w:p w14:paraId="4BE0FFC8" w14:textId="752F3179" w:rsidR="00B04B6E" w:rsidRPr="000A6875" w:rsidRDefault="00B04B6E" w:rsidP="00B04B6E">
      <w:pPr>
        <w:rPr>
          <w:rFonts w:cs="Arial"/>
          <w:szCs w:val="22"/>
        </w:rPr>
      </w:pPr>
      <w:r w:rsidRPr="000A6875">
        <w:rPr>
          <w:rFonts w:cs="Arial"/>
          <w:szCs w:val="22"/>
        </w:rPr>
        <w:t>1</w:t>
      </w:r>
      <w:r w:rsidRPr="000A6875">
        <w:rPr>
          <w:rFonts w:cs="Arial"/>
          <w:szCs w:val="22"/>
        </w:rPr>
        <w:tab/>
        <w:t xml:space="preserve">The Organization shall establish a Zero </w:t>
      </w:r>
      <w:r w:rsidR="00A9530F" w:rsidRPr="000A6875">
        <w:rPr>
          <w:rFonts w:cs="Arial"/>
          <w:szCs w:val="22"/>
        </w:rPr>
        <w:t xml:space="preserve">Emission Shipping </w:t>
      </w:r>
      <w:r w:rsidRPr="000A6875">
        <w:rPr>
          <w:rFonts w:cs="Arial"/>
          <w:szCs w:val="22"/>
        </w:rPr>
        <w:t>Fund (ZESF) for the purpose of administering the collection of contributions by ships, as required by regulation 35</w:t>
      </w:r>
      <w:r w:rsidR="00EE7A4C" w:rsidRPr="000A6875">
        <w:rPr>
          <w:rFonts w:cs="Arial"/>
          <w:szCs w:val="22"/>
        </w:rPr>
        <w:t xml:space="preserve"> </w:t>
      </w:r>
      <w:r w:rsidR="00EE7A4C" w:rsidRPr="000A6875">
        <w:rPr>
          <w:rFonts w:cs="Arial"/>
          <w:szCs w:val="22"/>
        </w:rPr>
        <w:lastRenderedPageBreak/>
        <w:t>of this Annex</w:t>
      </w:r>
      <w:r w:rsidRPr="000A6875">
        <w:rPr>
          <w:rFonts w:cs="Arial"/>
          <w:szCs w:val="22"/>
        </w:rPr>
        <w:t>, and the funding of the fund and reward (feebate) mechanism, to be administered by the Organization, taking into account Guidelines adopted by the Organization.</w:t>
      </w:r>
      <w:r w:rsidRPr="000A6875">
        <w:rPr>
          <w:rStyle w:val="FootnoteReference"/>
          <w:rFonts w:cs="Arial"/>
          <w:szCs w:val="22"/>
        </w:rPr>
        <w:footnoteReference w:id="2"/>
      </w:r>
      <w:r w:rsidRPr="000A6875">
        <w:rPr>
          <w:rFonts w:cs="Arial"/>
          <w:szCs w:val="22"/>
        </w:rPr>
        <w:t xml:space="preserve">  </w:t>
      </w:r>
    </w:p>
    <w:p w14:paraId="11C18948" w14:textId="77777777" w:rsidR="00B04B6E" w:rsidRPr="000A6875" w:rsidRDefault="00B04B6E" w:rsidP="00B04B6E">
      <w:pPr>
        <w:rPr>
          <w:rFonts w:cs="Arial"/>
          <w:szCs w:val="22"/>
        </w:rPr>
      </w:pPr>
    </w:p>
    <w:p w14:paraId="48BC38AB" w14:textId="77777777" w:rsidR="00B04B6E" w:rsidRPr="00191D29" w:rsidRDefault="00B04B6E" w:rsidP="00B04B6E">
      <w:r w:rsidRPr="000A6875">
        <w:rPr>
          <w:rFonts w:cs="Arial"/>
          <w:szCs w:val="22"/>
        </w:rPr>
        <w:t>2</w:t>
      </w:r>
      <w:r w:rsidRPr="000A6875">
        <w:rPr>
          <w:rFonts w:cs="Arial"/>
          <w:szCs w:val="22"/>
        </w:rPr>
        <w:tab/>
        <w:t xml:space="preserve">The funds contributed by ships to the ZESF shall be used </w:t>
      </w:r>
      <w:r w:rsidRPr="00191D29">
        <w:t xml:space="preserve">for the following purposes: </w:t>
      </w:r>
    </w:p>
    <w:p w14:paraId="77D6C3B8" w14:textId="77777777" w:rsidR="00B04B6E" w:rsidRPr="00191D29" w:rsidRDefault="00B04B6E" w:rsidP="00B04B6E"/>
    <w:p w14:paraId="051F749D" w14:textId="1A572F63" w:rsidR="00B04B6E" w:rsidRPr="00191D29" w:rsidRDefault="00B04B6E" w:rsidP="00B04B6E">
      <w:pPr>
        <w:ind w:left="1702" w:hanging="1702"/>
      </w:pPr>
      <w:r w:rsidRPr="00191D29">
        <w:tab/>
        <w:t xml:space="preserve">.1 </w:t>
      </w:r>
      <w:r w:rsidRPr="00191D29">
        <w:tab/>
        <w:t xml:space="preserve">to expedite the production and uptake of zero and near-zero GHG fuels, </w:t>
      </w:r>
      <w:r w:rsidR="002B26B8">
        <w:t xml:space="preserve">energy sources and technologies </w:t>
      </w:r>
      <w:r w:rsidRPr="00191D29">
        <w:t>through the provision of annual rewards (feebates) to ships for the CO</w:t>
      </w:r>
      <w:r w:rsidRPr="00191D29">
        <w:rPr>
          <w:vertAlign w:val="subscript"/>
        </w:rPr>
        <w:t>2</w:t>
      </w:r>
      <w:r w:rsidRPr="00191D29">
        <w:t xml:space="preserve">e emissions prevented; </w:t>
      </w:r>
    </w:p>
    <w:p w14:paraId="22C96DCC" w14:textId="77777777" w:rsidR="00B04B6E" w:rsidRPr="00191D29" w:rsidRDefault="00B04B6E" w:rsidP="00B04B6E"/>
    <w:p w14:paraId="2485FEE2" w14:textId="733636AA" w:rsidR="00B04B6E" w:rsidRPr="00191D29" w:rsidRDefault="00B04B6E" w:rsidP="00B04B6E">
      <w:pPr>
        <w:ind w:left="1702" w:hanging="1702"/>
      </w:pPr>
      <w:r w:rsidRPr="00191D29">
        <w:tab/>
        <w:t>.2</w:t>
      </w:r>
      <w:r w:rsidRPr="00191D29">
        <w:tab/>
        <w:t xml:space="preserve">funding for an </w:t>
      </w:r>
      <w:r w:rsidRPr="000A6875">
        <w:rPr>
          <w:rFonts w:cs="Arial"/>
          <w:szCs w:val="22"/>
        </w:rPr>
        <w:t>IMO (GHG) Maritime Sustainability Fund (IMSF)</w:t>
      </w:r>
      <w:r w:rsidRPr="00191D29">
        <w:t xml:space="preserve"> to support maritime GHG reduction projects and programmes in developing countries  </w:t>
      </w:r>
      <w:r w:rsidRPr="000A6875">
        <w:rPr>
          <w:rFonts w:cs="Arial"/>
          <w:szCs w:val="22"/>
        </w:rPr>
        <w:t>as may be decided by a supervisory committee, to be established by the Marine Environment Protection Committee, comprising representatives of Parties to this chapter. These projects and programmes may include:</w:t>
      </w:r>
    </w:p>
    <w:p w14:paraId="438FDA6D" w14:textId="77777777" w:rsidR="00B04B6E" w:rsidRPr="00191D29" w:rsidRDefault="00B04B6E" w:rsidP="00B04B6E">
      <w:pPr>
        <w:ind w:left="1702" w:hanging="1702"/>
      </w:pPr>
    </w:p>
    <w:p w14:paraId="4F815B7A" w14:textId="77777777" w:rsidR="00B554DB" w:rsidRPr="00191D29" w:rsidRDefault="00B554DB" w:rsidP="00B554DB">
      <w:pPr>
        <w:tabs>
          <w:tab w:val="clear" w:pos="851"/>
          <w:tab w:val="left" w:pos="1701"/>
        </w:tabs>
        <w:ind w:left="2550" w:hanging="2550"/>
      </w:pPr>
      <w:r w:rsidRPr="00191D29">
        <w:tab/>
      </w:r>
      <w:r w:rsidR="00B04B6E" w:rsidRPr="00191D29">
        <w:t>.1</w:t>
      </w:r>
      <w:r w:rsidR="00B04B6E" w:rsidRPr="00191D29">
        <w:tab/>
        <w:t xml:space="preserve">capacity-building in developing countries, especially SIDS and </w:t>
      </w:r>
      <w:r w:rsidRPr="00191D29">
        <w:tab/>
      </w:r>
      <w:r w:rsidR="00B04B6E" w:rsidRPr="00191D29">
        <w:t xml:space="preserve">LDCs, including deployment of zero or near-zero GHG maritime </w:t>
      </w:r>
      <w:r w:rsidRPr="00191D29">
        <w:tab/>
      </w:r>
      <w:r w:rsidR="00B04B6E" w:rsidRPr="00191D29">
        <w:t>fuel production facilities and new bunkering infrastructure that may</w:t>
      </w:r>
      <w:r w:rsidRPr="00191D29">
        <w:t xml:space="preserve"> </w:t>
      </w:r>
      <w:r w:rsidR="00B04B6E" w:rsidRPr="00191D29">
        <w:t>be required in ports to expedite transition;</w:t>
      </w:r>
    </w:p>
    <w:p w14:paraId="690DA275" w14:textId="77777777" w:rsidR="00B554DB" w:rsidRPr="00191D29" w:rsidRDefault="00B554DB" w:rsidP="00B554DB">
      <w:pPr>
        <w:tabs>
          <w:tab w:val="clear" w:pos="851"/>
          <w:tab w:val="left" w:pos="1701"/>
        </w:tabs>
        <w:ind w:left="2550" w:hanging="2550"/>
      </w:pPr>
    </w:p>
    <w:p w14:paraId="71B40DE8" w14:textId="77777777" w:rsidR="00B554DB" w:rsidRPr="00191D29" w:rsidRDefault="00B554DB" w:rsidP="00B554DB">
      <w:pPr>
        <w:tabs>
          <w:tab w:val="clear" w:pos="851"/>
          <w:tab w:val="left" w:pos="1701"/>
        </w:tabs>
        <w:ind w:left="2550" w:hanging="2550"/>
      </w:pPr>
      <w:r w:rsidRPr="00191D29">
        <w:tab/>
      </w:r>
      <w:r w:rsidR="00B04B6E" w:rsidRPr="00191D29">
        <w:t>.2</w:t>
      </w:r>
      <w:r w:rsidR="00B04B6E" w:rsidRPr="00191D29">
        <w:tab/>
        <w:t>funding, inter alia, for the IMO GHG-TC Trust Fund to support other maritime GHG reduction projects in developing countries, especially SIDS and LDCs;</w:t>
      </w:r>
    </w:p>
    <w:p w14:paraId="79F60AE0" w14:textId="77777777" w:rsidR="00B554DB" w:rsidRPr="00191D29" w:rsidRDefault="00B554DB" w:rsidP="00B554DB">
      <w:pPr>
        <w:tabs>
          <w:tab w:val="clear" w:pos="851"/>
          <w:tab w:val="left" w:pos="1701"/>
        </w:tabs>
        <w:ind w:left="2550" w:hanging="2550"/>
      </w:pPr>
    </w:p>
    <w:p w14:paraId="7B784693" w14:textId="77777777" w:rsidR="00B554DB" w:rsidRPr="00191D29" w:rsidRDefault="00B554DB" w:rsidP="00B554DB">
      <w:pPr>
        <w:tabs>
          <w:tab w:val="clear" w:pos="851"/>
          <w:tab w:val="left" w:pos="1701"/>
        </w:tabs>
        <w:ind w:left="2550" w:hanging="2550"/>
      </w:pPr>
      <w:r w:rsidRPr="00191D29">
        <w:tab/>
      </w:r>
      <w:r w:rsidR="00B04B6E" w:rsidRPr="00191D29">
        <w:t>.3</w:t>
      </w:r>
      <w:r w:rsidR="00B04B6E" w:rsidRPr="00191D29">
        <w:tab/>
        <w:t xml:space="preserve">funding for applied research and development (R&amp;D) programmes of alternative fuels and innovative technologies; and </w:t>
      </w:r>
    </w:p>
    <w:p w14:paraId="1FDF5A40" w14:textId="77777777" w:rsidR="00B554DB" w:rsidRPr="00191D29" w:rsidRDefault="00B554DB" w:rsidP="00B554DB">
      <w:pPr>
        <w:tabs>
          <w:tab w:val="clear" w:pos="851"/>
          <w:tab w:val="left" w:pos="1701"/>
        </w:tabs>
        <w:ind w:left="2550" w:hanging="2550"/>
      </w:pPr>
    </w:p>
    <w:p w14:paraId="24D7DAD1" w14:textId="0E32821F" w:rsidR="00B04B6E" w:rsidRPr="00191D29" w:rsidRDefault="00B554DB" w:rsidP="00B554DB">
      <w:pPr>
        <w:tabs>
          <w:tab w:val="clear" w:pos="851"/>
          <w:tab w:val="left" w:pos="1701"/>
        </w:tabs>
        <w:ind w:left="2550" w:hanging="2550"/>
      </w:pPr>
      <w:r w:rsidRPr="00191D29">
        <w:tab/>
      </w:r>
      <w:r w:rsidR="00B04B6E" w:rsidRPr="00191D29">
        <w:t>.</w:t>
      </w:r>
      <w:r w:rsidR="00B04B6E" w:rsidRPr="00191D29">
        <w:rPr>
          <w:rFonts w:cs="Arial"/>
          <w:sz w:val="24"/>
          <w:szCs w:val="24"/>
        </w:rPr>
        <w:t>4</w:t>
      </w:r>
      <w:r w:rsidR="00B04B6E" w:rsidRPr="00191D29">
        <w:rPr>
          <w:rFonts w:cs="Arial"/>
          <w:sz w:val="24"/>
          <w:szCs w:val="24"/>
        </w:rPr>
        <w:tab/>
      </w:r>
      <w:r w:rsidR="00B04B6E" w:rsidRPr="00191D29">
        <w:rPr>
          <w:rFonts w:cs="Arial"/>
          <w:szCs w:val="22"/>
        </w:rPr>
        <w:t xml:space="preserve">funding for seafarer training in developing countries and promotion of a just transition; and </w:t>
      </w:r>
    </w:p>
    <w:p w14:paraId="07F24318" w14:textId="77777777" w:rsidR="00B04B6E" w:rsidRPr="00191D29" w:rsidRDefault="00B04B6E" w:rsidP="00B554DB">
      <w:pPr>
        <w:rPr>
          <w:rFonts w:cs="Arial"/>
          <w:szCs w:val="22"/>
        </w:rPr>
      </w:pPr>
    </w:p>
    <w:p w14:paraId="7404A7EA" w14:textId="01DBFE44" w:rsidR="00B04B6E" w:rsidRPr="00191D29" w:rsidRDefault="00B04B6E" w:rsidP="00B04B6E">
      <w:pPr>
        <w:ind w:left="1701" w:hanging="1699"/>
      </w:pPr>
      <w:r w:rsidRPr="00191D29">
        <w:tab/>
        <w:t>.3</w:t>
      </w:r>
      <w:r w:rsidRPr="00191D29">
        <w:tab/>
        <w:t xml:space="preserve">administration of the ZESF and the </w:t>
      </w:r>
      <w:r w:rsidRPr="000A6875">
        <w:rPr>
          <w:rFonts w:cs="Arial"/>
          <w:szCs w:val="22"/>
        </w:rPr>
        <w:t>IMSF,</w:t>
      </w:r>
      <w:r w:rsidRPr="00191D29">
        <w:t xml:space="preserve"> including the establishment and administration of a contribution and reward (feebate) mechanism ensuring this entails no costs to the Organization.</w:t>
      </w:r>
    </w:p>
    <w:p w14:paraId="71AA9EB0" w14:textId="77777777" w:rsidR="00B04B6E" w:rsidRPr="000A6875" w:rsidRDefault="00B04B6E" w:rsidP="00B04B6E">
      <w:pPr>
        <w:rPr>
          <w:rFonts w:cs="Arial"/>
          <w:szCs w:val="22"/>
        </w:rPr>
      </w:pPr>
    </w:p>
    <w:p w14:paraId="3996A852" w14:textId="77777777" w:rsidR="00B04B6E" w:rsidRPr="000A6875" w:rsidRDefault="00B04B6E" w:rsidP="00B04B6E">
      <w:pPr>
        <w:rPr>
          <w:rFonts w:cs="Arial"/>
          <w:szCs w:val="22"/>
        </w:rPr>
      </w:pPr>
      <w:r w:rsidRPr="000A6875">
        <w:rPr>
          <w:rFonts w:cs="Arial"/>
          <w:szCs w:val="22"/>
        </w:rPr>
        <w:t>3</w:t>
      </w:r>
      <w:r w:rsidRPr="000A6875">
        <w:rPr>
          <w:rFonts w:cs="Arial"/>
          <w:szCs w:val="22"/>
        </w:rPr>
        <w:tab/>
        <w:t xml:space="preserve">The contributions made to the ZESF shall only be used for the purposes specified in paragraph 2 of this regulation. </w:t>
      </w:r>
    </w:p>
    <w:p w14:paraId="63C4184B" w14:textId="77777777" w:rsidR="00B04B6E" w:rsidRPr="000A6875" w:rsidRDefault="00B04B6E" w:rsidP="00B04B6E">
      <w:pPr>
        <w:rPr>
          <w:rFonts w:cs="Arial"/>
          <w:szCs w:val="22"/>
        </w:rPr>
      </w:pPr>
    </w:p>
    <w:p w14:paraId="74E4F286" w14:textId="2E89DC0E" w:rsidR="00B04B6E" w:rsidRPr="000A6875" w:rsidRDefault="00B04B6E" w:rsidP="00B04B6E">
      <w:pPr>
        <w:rPr>
          <w:rFonts w:cs="Arial"/>
          <w:szCs w:val="22"/>
        </w:rPr>
      </w:pPr>
      <w:r w:rsidRPr="000A6875">
        <w:rPr>
          <w:rFonts w:cs="Arial"/>
          <w:szCs w:val="22"/>
        </w:rPr>
        <w:t>4</w:t>
      </w:r>
      <w:r w:rsidRPr="000A6875">
        <w:rPr>
          <w:rFonts w:cs="Arial"/>
          <w:szCs w:val="22"/>
        </w:rPr>
        <w:tab/>
        <w:t>For five years after entry into force of this chapter, and provided that the total contributions from ships to the ZESF in any calendar year shall be adequate to meet the purposes set out in paragraphs 2.1 and 2.3 of this regulation, up to [</w:t>
      </w:r>
      <w:r w:rsidR="00292197" w:rsidRPr="000A6875">
        <w:rPr>
          <w:rFonts w:cs="Arial"/>
          <w:szCs w:val="22"/>
        </w:rPr>
        <w:t>…</w:t>
      </w:r>
      <w:r w:rsidRPr="000A6875">
        <w:rPr>
          <w:rFonts w:cs="Arial"/>
          <w:szCs w:val="22"/>
        </w:rPr>
        <w:t xml:space="preserve">]% of the total contributions made to the ZESF in any calendar year shall be used to provide funding for the IMSF.  </w:t>
      </w:r>
    </w:p>
    <w:p w14:paraId="0E38F37F" w14:textId="77777777" w:rsidR="00B04B6E" w:rsidRPr="000A6875" w:rsidRDefault="00B04B6E" w:rsidP="00B04B6E">
      <w:pPr>
        <w:rPr>
          <w:rFonts w:cs="Arial"/>
          <w:szCs w:val="22"/>
        </w:rPr>
      </w:pPr>
    </w:p>
    <w:p w14:paraId="39E20982" w14:textId="77777777" w:rsidR="00B04B6E" w:rsidRPr="000A6875" w:rsidRDefault="00B04B6E" w:rsidP="00B04B6E">
      <w:r w:rsidRPr="000A6875">
        <w:rPr>
          <w:rFonts w:cs="Arial"/>
          <w:szCs w:val="22"/>
        </w:rPr>
        <w:t>5</w:t>
      </w:r>
      <w:r w:rsidRPr="000A6875">
        <w:rPr>
          <w:rFonts w:cs="Arial"/>
          <w:szCs w:val="22"/>
        </w:rPr>
        <w:tab/>
      </w:r>
      <w:r w:rsidRPr="00191D29">
        <w:t xml:space="preserve">If the total contributions made by ships to the ZESF in any calendar year are less than that required to meet the funding of rewards (feebates), the percentage of the total contributions collected by the ZESF in any calendar year which are </w:t>
      </w:r>
      <w:r w:rsidRPr="000A6875">
        <w:t>designated</w:t>
      </w:r>
      <w:r w:rsidRPr="00191D29">
        <w:t xml:space="preserve"> for the purposes set out in </w:t>
      </w:r>
      <w:r w:rsidRPr="000A6875">
        <w:t xml:space="preserve">paragraph 2.2 </w:t>
      </w:r>
      <w:r w:rsidRPr="00191D29">
        <w:t xml:space="preserve">of this regulation may be </w:t>
      </w:r>
      <w:r w:rsidRPr="000A6875">
        <w:t xml:space="preserve">reduced. </w:t>
      </w:r>
    </w:p>
    <w:p w14:paraId="2F9386CF" w14:textId="77777777" w:rsidR="00B04B6E" w:rsidRPr="000A6875" w:rsidRDefault="00B04B6E" w:rsidP="00B04B6E"/>
    <w:p w14:paraId="49A79116" w14:textId="09B01960" w:rsidR="00B04B6E" w:rsidRPr="000A6875" w:rsidRDefault="00B04B6E" w:rsidP="00B04B6E">
      <w:r w:rsidRPr="00191D29">
        <w:t>6</w:t>
      </w:r>
      <w:r w:rsidR="00B554DB" w:rsidRPr="00191D29">
        <w:tab/>
      </w:r>
      <w:r w:rsidRPr="00191D29">
        <w:t>Following the review of this chapter, as required by regulation 38 of this chapter, the maximum percentage of the total contributions made annually to the ZESF which may be used to provide funding for the IMSF, as set out in paragraph 4, may be adjusted.</w:t>
      </w:r>
    </w:p>
    <w:p w14:paraId="3C75C352" w14:textId="77777777" w:rsidR="00B04B6E" w:rsidRPr="000A6875" w:rsidRDefault="00B04B6E" w:rsidP="00B04B6E">
      <w:pPr>
        <w:rPr>
          <w:rFonts w:cs="Arial"/>
          <w:b/>
          <w:bCs/>
          <w:szCs w:val="22"/>
        </w:rPr>
      </w:pPr>
    </w:p>
    <w:p w14:paraId="0CD301D3" w14:textId="77777777" w:rsidR="00B04B6E" w:rsidRPr="000A6875" w:rsidRDefault="00B04B6E" w:rsidP="00B04B6E">
      <w:pPr>
        <w:rPr>
          <w:rFonts w:cs="Arial"/>
          <w:b/>
          <w:bCs/>
          <w:szCs w:val="22"/>
        </w:rPr>
      </w:pPr>
      <w:r w:rsidRPr="000A6875">
        <w:rPr>
          <w:rFonts w:cs="Arial"/>
          <w:b/>
          <w:bCs/>
          <w:szCs w:val="22"/>
        </w:rPr>
        <w:lastRenderedPageBreak/>
        <w:t>Regulation 34</w:t>
      </w:r>
    </w:p>
    <w:p w14:paraId="15F9B7BF" w14:textId="77777777" w:rsidR="00B04B6E" w:rsidRPr="000A6875" w:rsidRDefault="00B04B6E" w:rsidP="00B04B6E">
      <w:pPr>
        <w:rPr>
          <w:rFonts w:cs="Arial"/>
          <w:b/>
          <w:bCs/>
          <w:szCs w:val="22"/>
        </w:rPr>
      </w:pPr>
    </w:p>
    <w:p w14:paraId="280AE7CA" w14:textId="77777777" w:rsidR="00B04B6E" w:rsidRPr="000A6875" w:rsidRDefault="00B04B6E" w:rsidP="00B04B6E">
      <w:pPr>
        <w:rPr>
          <w:rFonts w:cs="Arial"/>
          <w:i/>
          <w:iCs/>
          <w:szCs w:val="22"/>
        </w:rPr>
      </w:pPr>
      <w:r w:rsidRPr="000A6875">
        <w:rPr>
          <w:rFonts w:cs="Arial"/>
          <w:i/>
          <w:iCs/>
          <w:szCs w:val="22"/>
        </w:rPr>
        <w:t>IMO (GHG) Maritime Sustainability Fund</w:t>
      </w:r>
    </w:p>
    <w:p w14:paraId="456AFC36" w14:textId="77777777" w:rsidR="00B04B6E" w:rsidRPr="000A6875" w:rsidRDefault="00B04B6E" w:rsidP="00B04B6E">
      <w:pPr>
        <w:rPr>
          <w:rFonts w:cs="Arial"/>
          <w:szCs w:val="22"/>
        </w:rPr>
      </w:pPr>
    </w:p>
    <w:p w14:paraId="345A7690" w14:textId="77777777" w:rsidR="00B04B6E" w:rsidRPr="000A6875" w:rsidRDefault="00B04B6E" w:rsidP="00B04B6E">
      <w:pPr>
        <w:rPr>
          <w:rFonts w:cs="Arial"/>
          <w:szCs w:val="22"/>
        </w:rPr>
      </w:pPr>
      <w:r w:rsidRPr="000A6875">
        <w:rPr>
          <w:rFonts w:cs="Arial"/>
          <w:szCs w:val="22"/>
        </w:rPr>
        <w:t>1</w:t>
      </w:r>
      <w:r w:rsidRPr="000A6875">
        <w:rPr>
          <w:rFonts w:cs="Arial"/>
          <w:szCs w:val="22"/>
        </w:rPr>
        <w:tab/>
        <w:t>The Organization shall establish an IMO (GHG) Maritime Sustainability Fund (IMSF) in accordance with terms of reference established by the Organization as required in paragraph 2, to support the projects and programmes set out in regulation 33.2.2 of this Annex as may be decided by a supervisory committee comprising representatives of Parties to this chapter.</w:t>
      </w:r>
    </w:p>
    <w:p w14:paraId="0D834F14" w14:textId="77777777" w:rsidR="00B04B6E" w:rsidRPr="000A6875" w:rsidRDefault="00B04B6E" w:rsidP="00B04B6E">
      <w:pPr>
        <w:rPr>
          <w:rFonts w:cs="Arial"/>
          <w:szCs w:val="22"/>
        </w:rPr>
      </w:pPr>
    </w:p>
    <w:p w14:paraId="017D60CD" w14:textId="77777777" w:rsidR="00B04B6E" w:rsidRPr="000A6875" w:rsidRDefault="00B04B6E" w:rsidP="00B04B6E">
      <w:pPr>
        <w:rPr>
          <w:rFonts w:cs="Arial"/>
          <w:szCs w:val="22"/>
        </w:rPr>
      </w:pPr>
      <w:r w:rsidRPr="000A6875">
        <w:rPr>
          <w:rFonts w:cs="Arial"/>
          <w:szCs w:val="22"/>
        </w:rPr>
        <w:t>2</w:t>
      </w:r>
      <w:r w:rsidRPr="000A6875">
        <w:rPr>
          <w:rFonts w:cs="Arial"/>
          <w:szCs w:val="22"/>
        </w:rPr>
        <w:tab/>
        <w:t>The Organization shall establish terms of reference</w:t>
      </w:r>
      <w:r w:rsidRPr="000A6875">
        <w:rPr>
          <w:rStyle w:val="FootnoteReference"/>
          <w:rFonts w:cs="Arial"/>
          <w:szCs w:val="22"/>
        </w:rPr>
        <w:footnoteReference w:id="3"/>
      </w:r>
      <w:r w:rsidRPr="000A6875">
        <w:rPr>
          <w:rFonts w:cs="Arial"/>
          <w:szCs w:val="22"/>
        </w:rPr>
        <w:t xml:space="preserve"> for the establishment, governance and management of the IMSF, taking into account Guidelines adopted by the Organization.</w:t>
      </w:r>
      <w:r w:rsidRPr="000A6875">
        <w:rPr>
          <w:rStyle w:val="FootnoteReference"/>
          <w:rFonts w:cs="Arial"/>
          <w:szCs w:val="22"/>
        </w:rPr>
        <w:footnoteReference w:id="4"/>
      </w:r>
      <w:r w:rsidRPr="000A6875">
        <w:rPr>
          <w:rFonts w:cs="Arial"/>
          <w:szCs w:val="22"/>
        </w:rPr>
        <w:t xml:space="preserve"> </w:t>
      </w:r>
    </w:p>
    <w:p w14:paraId="41F7443B" w14:textId="77777777" w:rsidR="00B04B6E" w:rsidRPr="000A6875" w:rsidRDefault="00B04B6E" w:rsidP="00B04B6E">
      <w:pPr>
        <w:rPr>
          <w:rFonts w:cs="Arial"/>
          <w:szCs w:val="22"/>
        </w:rPr>
      </w:pPr>
    </w:p>
    <w:p w14:paraId="46016845" w14:textId="77777777" w:rsidR="00B04B6E" w:rsidRPr="000A6875" w:rsidRDefault="00B04B6E" w:rsidP="00B04B6E">
      <w:pPr>
        <w:rPr>
          <w:rFonts w:cs="Arial"/>
          <w:szCs w:val="22"/>
        </w:rPr>
      </w:pPr>
      <w:r w:rsidRPr="000A6875">
        <w:rPr>
          <w:rFonts w:cs="Arial"/>
          <w:szCs w:val="22"/>
        </w:rPr>
        <w:t>3</w:t>
      </w:r>
      <w:r w:rsidRPr="000A6875">
        <w:rPr>
          <w:rFonts w:cs="Arial"/>
          <w:szCs w:val="22"/>
        </w:rPr>
        <w:tab/>
        <w:t>The Marine Environment Protection Committee shall oversee the activities and governance of the IMSF in accordance with the rules and regulations of the Organization, taking into account Guidelines adopted by the Organization.</w:t>
      </w:r>
      <w:r w:rsidRPr="000A6875">
        <w:rPr>
          <w:rStyle w:val="FootnoteReference"/>
          <w:rFonts w:cs="Arial"/>
          <w:szCs w:val="22"/>
        </w:rPr>
        <w:footnoteReference w:id="5"/>
      </w:r>
      <w:r w:rsidRPr="000A6875">
        <w:rPr>
          <w:rFonts w:cs="Arial"/>
          <w:szCs w:val="22"/>
        </w:rPr>
        <w:t xml:space="preserve"> </w:t>
      </w:r>
    </w:p>
    <w:p w14:paraId="3F0A0665" w14:textId="77777777" w:rsidR="00B04B6E" w:rsidRPr="000A6875" w:rsidRDefault="00B04B6E" w:rsidP="00B04B6E">
      <w:pPr>
        <w:rPr>
          <w:rFonts w:cs="Arial"/>
          <w:szCs w:val="22"/>
        </w:rPr>
      </w:pPr>
    </w:p>
    <w:p w14:paraId="7EA416AC" w14:textId="77777777" w:rsidR="00B04B6E" w:rsidRPr="000A6875" w:rsidRDefault="00B04B6E" w:rsidP="00B04B6E">
      <w:pPr>
        <w:rPr>
          <w:rFonts w:cs="Arial"/>
          <w:b/>
          <w:bCs/>
          <w:szCs w:val="22"/>
        </w:rPr>
      </w:pPr>
      <w:r w:rsidRPr="000A6875">
        <w:rPr>
          <w:rFonts w:cs="Arial"/>
          <w:b/>
          <w:bCs/>
          <w:szCs w:val="22"/>
        </w:rPr>
        <w:t xml:space="preserve">Regulation 35 </w:t>
      </w:r>
    </w:p>
    <w:p w14:paraId="7806B759" w14:textId="77777777" w:rsidR="00B04B6E" w:rsidRPr="000A6875" w:rsidRDefault="00B04B6E" w:rsidP="00B04B6E">
      <w:pPr>
        <w:rPr>
          <w:rFonts w:cs="Arial"/>
          <w:b/>
          <w:bCs/>
          <w:szCs w:val="22"/>
        </w:rPr>
      </w:pPr>
    </w:p>
    <w:p w14:paraId="34B4BCB5" w14:textId="77777777" w:rsidR="00B04B6E" w:rsidRPr="000A6875" w:rsidRDefault="00B04B6E" w:rsidP="00B04B6E">
      <w:pPr>
        <w:rPr>
          <w:rFonts w:cs="Arial"/>
          <w:i/>
          <w:iCs/>
          <w:szCs w:val="22"/>
        </w:rPr>
      </w:pPr>
      <w:r w:rsidRPr="000A6875">
        <w:rPr>
          <w:rFonts w:cs="Arial"/>
          <w:i/>
          <w:iCs/>
          <w:szCs w:val="22"/>
        </w:rPr>
        <w:t>Contribution by ships to the Zero Emission Shipping Fund</w:t>
      </w:r>
    </w:p>
    <w:p w14:paraId="14B82A79" w14:textId="77777777" w:rsidR="00B04B6E" w:rsidRPr="000A6875" w:rsidRDefault="00B04B6E" w:rsidP="00B04B6E">
      <w:pPr>
        <w:rPr>
          <w:rFonts w:cs="Arial"/>
          <w:szCs w:val="22"/>
        </w:rPr>
      </w:pPr>
    </w:p>
    <w:p w14:paraId="784218B4" w14:textId="79CBCA8B" w:rsidR="00B04B6E" w:rsidRPr="000A6875" w:rsidRDefault="00B04B6E" w:rsidP="00B04B6E">
      <w:pPr>
        <w:rPr>
          <w:rFonts w:cs="Arial"/>
          <w:szCs w:val="22"/>
        </w:rPr>
      </w:pPr>
      <w:r w:rsidRPr="000A6875">
        <w:rPr>
          <w:rFonts w:cs="Arial"/>
          <w:szCs w:val="22"/>
        </w:rPr>
        <w:t>1</w:t>
      </w:r>
      <w:r w:rsidRPr="000A6875">
        <w:rPr>
          <w:rFonts w:cs="Arial"/>
          <w:szCs w:val="22"/>
        </w:rPr>
        <w:tab/>
        <w:t xml:space="preserve">Subject to regulation 37 of this Annex, within four months after the end of each calendar year, each ship of </w:t>
      </w:r>
      <w:r w:rsidR="003D3DA1" w:rsidRPr="000A6875">
        <w:rPr>
          <w:rFonts w:cs="Arial"/>
          <w:szCs w:val="22"/>
        </w:rPr>
        <w:t xml:space="preserve">[400] </w:t>
      </w:r>
      <w:r w:rsidRPr="000A6875">
        <w:rPr>
          <w:rFonts w:cs="Arial"/>
          <w:szCs w:val="22"/>
        </w:rPr>
        <w:t xml:space="preserve">[5,000] gross tonnage and above to which this Chapter applies shall make a contribution to the ZESF. </w:t>
      </w:r>
      <w:r w:rsidRPr="00191D29">
        <w:t>For a minimum period of 5 years after entry into force of this Chapter,</w:t>
      </w:r>
      <w:r w:rsidRPr="000A6875">
        <w:rPr>
          <w:rFonts w:cs="Arial"/>
          <w:szCs w:val="22"/>
        </w:rPr>
        <w:t xml:space="preserve"> the contribution for each ship to which this regulation applies shall be fixed at a rate and value of </w:t>
      </w:r>
      <w:r w:rsidR="00F425C5" w:rsidRPr="000A6875">
        <w:rPr>
          <w:rFonts w:cs="Arial"/>
          <w:szCs w:val="22"/>
        </w:rPr>
        <w:t>[</w:t>
      </w:r>
      <w:r w:rsidR="003D3DA1" w:rsidRPr="000A6875">
        <w:rPr>
          <w:rFonts w:cs="Arial"/>
          <w:szCs w:val="22"/>
        </w:rPr>
        <w:t>…</w:t>
      </w:r>
      <w:r w:rsidR="00F425C5" w:rsidRPr="000A6875">
        <w:rPr>
          <w:rFonts w:cs="Arial"/>
          <w:szCs w:val="22"/>
        </w:rPr>
        <w:t xml:space="preserve">] </w:t>
      </w:r>
      <w:r w:rsidRPr="000A6875">
        <w:rPr>
          <w:rFonts w:cs="Arial"/>
          <w:szCs w:val="22"/>
        </w:rPr>
        <w:t>US$ per tonne of CO</w:t>
      </w:r>
      <w:r w:rsidRPr="000A6875">
        <w:rPr>
          <w:rFonts w:cs="Arial"/>
          <w:szCs w:val="22"/>
          <w:vertAlign w:val="subscript"/>
        </w:rPr>
        <w:t>2</w:t>
      </w:r>
      <w:r w:rsidRPr="000A6875">
        <w:rPr>
          <w:rFonts w:cs="Arial"/>
          <w:szCs w:val="22"/>
        </w:rPr>
        <w:t>e emitted, with the equivalent rate and value of the contribution per tonne of fuel oil consumed to be determined by the Organization, taking into account Guidelines adopted by the Organization.</w:t>
      </w:r>
      <w:r w:rsidRPr="000A6875">
        <w:rPr>
          <w:rStyle w:val="FootnoteReference"/>
          <w:rFonts w:cs="Arial"/>
          <w:szCs w:val="22"/>
        </w:rPr>
        <w:footnoteReference w:id="6"/>
      </w:r>
      <w:r w:rsidRPr="000A6875">
        <w:rPr>
          <w:rFonts w:cs="Arial"/>
          <w:szCs w:val="22"/>
        </w:rPr>
        <w:t xml:space="preserve"> </w:t>
      </w:r>
    </w:p>
    <w:p w14:paraId="1ABAACCD" w14:textId="77777777" w:rsidR="00B04B6E" w:rsidRPr="000A6875" w:rsidRDefault="00B04B6E" w:rsidP="00B04B6E">
      <w:pPr>
        <w:rPr>
          <w:rFonts w:cs="Arial"/>
          <w:szCs w:val="22"/>
        </w:rPr>
      </w:pPr>
    </w:p>
    <w:p w14:paraId="0683EE3F" w14:textId="77777777" w:rsidR="00B04B6E" w:rsidRPr="000A6875" w:rsidRDefault="00B04B6E" w:rsidP="00B04B6E">
      <w:pPr>
        <w:rPr>
          <w:rFonts w:cs="Arial"/>
          <w:szCs w:val="22"/>
        </w:rPr>
      </w:pPr>
      <w:r w:rsidRPr="000A6875">
        <w:rPr>
          <w:rFonts w:cs="Arial"/>
          <w:szCs w:val="22"/>
        </w:rPr>
        <w:t>2</w:t>
      </w:r>
      <w:r w:rsidRPr="000A6875">
        <w:rPr>
          <w:rFonts w:cs="Arial"/>
          <w:szCs w:val="22"/>
        </w:rPr>
        <w:tab/>
        <w:t>For ships emitting zero CO</w:t>
      </w:r>
      <w:r w:rsidRPr="000A6875">
        <w:rPr>
          <w:rFonts w:cs="Arial"/>
          <w:szCs w:val="22"/>
          <w:vertAlign w:val="subscript"/>
        </w:rPr>
        <w:t>2</w:t>
      </w:r>
      <w:r w:rsidRPr="000A6875">
        <w:rPr>
          <w:rFonts w:cs="Arial"/>
          <w:szCs w:val="22"/>
        </w:rPr>
        <w:t>e emissions, taking into account Guidelines adopted by the Organization</w:t>
      </w:r>
      <w:r w:rsidRPr="000A6875">
        <w:rPr>
          <w:rStyle w:val="FootnoteReference"/>
          <w:rFonts w:cs="Arial"/>
          <w:szCs w:val="22"/>
        </w:rPr>
        <w:footnoteReference w:id="7"/>
      </w:r>
      <w:r w:rsidRPr="000A6875">
        <w:rPr>
          <w:rFonts w:cs="Arial"/>
          <w:szCs w:val="22"/>
        </w:rPr>
        <w:t>, the contribution required under paragraph 1 of this regulation shall be zero.</w:t>
      </w:r>
    </w:p>
    <w:p w14:paraId="418C53B4" w14:textId="77777777" w:rsidR="00B554DB" w:rsidRPr="000A6875" w:rsidRDefault="00B554DB" w:rsidP="00B04B6E">
      <w:pPr>
        <w:rPr>
          <w:rFonts w:cs="Arial"/>
          <w:szCs w:val="22"/>
        </w:rPr>
        <w:sectPr w:rsidR="00B554DB" w:rsidRPr="000A6875" w:rsidSect="00DF3E2F">
          <w:headerReference w:type="even" r:id="rId29"/>
          <w:headerReference w:type="default" r:id="rId30"/>
          <w:footnotePr>
            <w:numRestart w:val="eachSect"/>
          </w:footnotePr>
          <w:type w:val="continuous"/>
          <w:pgSz w:w="11906" w:h="16838"/>
          <w:pgMar w:top="1440" w:right="1440" w:bottom="1440" w:left="1440" w:header="709" w:footer="709" w:gutter="0"/>
          <w:pgNumType w:start="1"/>
          <w:cols w:space="708"/>
          <w:docGrid w:linePitch="360"/>
        </w:sectPr>
      </w:pPr>
    </w:p>
    <w:p w14:paraId="57E9A166" w14:textId="38E197E1" w:rsidR="00B554DB" w:rsidRPr="000A6875" w:rsidRDefault="00B554DB" w:rsidP="00B04B6E">
      <w:pPr>
        <w:rPr>
          <w:rFonts w:cs="Arial"/>
          <w:szCs w:val="22"/>
        </w:rPr>
      </w:pPr>
    </w:p>
    <w:p w14:paraId="520BD07B" w14:textId="77777777" w:rsidR="00B04B6E" w:rsidRPr="000A6875" w:rsidRDefault="00B04B6E" w:rsidP="00B04B6E">
      <w:pPr>
        <w:rPr>
          <w:rFonts w:cs="Arial"/>
          <w:szCs w:val="22"/>
        </w:rPr>
      </w:pPr>
      <w:r w:rsidRPr="000A6875">
        <w:rPr>
          <w:rFonts w:cs="Arial"/>
          <w:szCs w:val="22"/>
        </w:rPr>
        <w:t>3</w:t>
      </w:r>
      <w:r w:rsidRPr="000A6875">
        <w:rPr>
          <w:rFonts w:cs="Arial"/>
          <w:szCs w:val="22"/>
        </w:rPr>
        <w:tab/>
        <w:t xml:space="preserve">Within three months after the end of each calendar year, each ship shall provide the ZESF with fuel oil consumption data as reported to the Administration, or any organization duly authorized by it, in accordance with regulations 27.3, 27.4 or 27.5 of this Annex. </w:t>
      </w:r>
    </w:p>
    <w:p w14:paraId="2A49EC61" w14:textId="77777777" w:rsidR="00B04B6E" w:rsidRPr="000A6875" w:rsidRDefault="00B04B6E" w:rsidP="00B04B6E">
      <w:pPr>
        <w:rPr>
          <w:rFonts w:cs="Arial"/>
          <w:szCs w:val="22"/>
        </w:rPr>
      </w:pPr>
    </w:p>
    <w:p w14:paraId="70FE1C14" w14:textId="77777777" w:rsidR="00B04B6E" w:rsidRPr="000A6875" w:rsidRDefault="00B04B6E" w:rsidP="00B04B6E">
      <w:pPr>
        <w:rPr>
          <w:rFonts w:cs="Arial"/>
          <w:szCs w:val="22"/>
        </w:rPr>
      </w:pPr>
      <w:r w:rsidRPr="000A6875">
        <w:rPr>
          <w:rFonts w:cs="Arial"/>
          <w:szCs w:val="22"/>
        </w:rPr>
        <w:t>4</w:t>
      </w:r>
      <w:r w:rsidRPr="000A6875">
        <w:rPr>
          <w:rFonts w:cs="Arial"/>
          <w:szCs w:val="22"/>
        </w:rPr>
        <w:tab/>
        <w:t>No later than one month after receiving the contribution from each ship, as required under paragraph 1 of this regulation, the ZESF shall provide an Annual Account Statement to each ship confirming that the total contribution to be made to the ZESF for that ship for the previous calendar year, including the portion thereof as provided for in paragraphs 6 and 7 of this regulation, has been made.</w:t>
      </w:r>
    </w:p>
    <w:p w14:paraId="5F88191C" w14:textId="77777777" w:rsidR="00B04B6E" w:rsidRPr="000A6875" w:rsidRDefault="00B04B6E" w:rsidP="00B04B6E">
      <w:pPr>
        <w:rPr>
          <w:rFonts w:cs="Arial"/>
          <w:szCs w:val="22"/>
        </w:rPr>
      </w:pPr>
    </w:p>
    <w:p w14:paraId="03382C1B" w14:textId="77777777" w:rsidR="00B04B6E" w:rsidRPr="000A6875" w:rsidRDefault="00B04B6E" w:rsidP="00B04B6E">
      <w:pPr>
        <w:rPr>
          <w:rFonts w:cs="Arial"/>
          <w:szCs w:val="22"/>
        </w:rPr>
      </w:pPr>
      <w:r w:rsidRPr="000A6875">
        <w:rPr>
          <w:rFonts w:cs="Arial"/>
          <w:szCs w:val="22"/>
        </w:rPr>
        <w:lastRenderedPageBreak/>
        <w:t>5</w:t>
      </w:r>
      <w:r w:rsidRPr="000A6875">
        <w:rPr>
          <w:rFonts w:cs="Arial"/>
          <w:szCs w:val="22"/>
        </w:rPr>
        <w:tab/>
        <w:t xml:space="preserve">Following receipt of the Annual Account Statement, the ship shall promptly provide the Administration, or any organization duly authorized by it, with the Annual Account Statement. </w:t>
      </w:r>
    </w:p>
    <w:p w14:paraId="1D00AEA0" w14:textId="77777777" w:rsidR="00B04B6E" w:rsidRPr="000A6875" w:rsidRDefault="00B04B6E" w:rsidP="00B04B6E">
      <w:pPr>
        <w:rPr>
          <w:rFonts w:cs="Arial"/>
          <w:szCs w:val="22"/>
        </w:rPr>
      </w:pPr>
    </w:p>
    <w:p w14:paraId="3E37E70D" w14:textId="77777777" w:rsidR="00B04B6E" w:rsidRPr="000A6875" w:rsidRDefault="00B04B6E" w:rsidP="00B04B6E">
      <w:pPr>
        <w:rPr>
          <w:rFonts w:cs="Arial"/>
          <w:szCs w:val="22"/>
        </w:rPr>
      </w:pPr>
      <w:r w:rsidRPr="000A6875">
        <w:rPr>
          <w:rFonts w:cs="Arial"/>
          <w:szCs w:val="22"/>
        </w:rPr>
        <w:t>6</w:t>
      </w:r>
      <w:r w:rsidRPr="000A6875">
        <w:rPr>
          <w:rFonts w:cs="Arial"/>
          <w:szCs w:val="22"/>
        </w:rPr>
        <w:tab/>
        <w:t xml:space="preserve">In the event of the transfer of a ship from one Administration to another, the contribution made by the ship in accordance with paragraph 1 of this regulation shall cover the period of the calendar year corresponding to the losing Administration. </w:t>
      </w:r>
    </w:p>
    <w:p w14:paraId="01A7ADAD" w14:textId="77777777" w:rsidR="00B04B6E" w:rsidRPr="000A6875" w:rsidRDefault="00B04B6E" w:rsidP="00B04B6E">
      <w:pPr>
        <w:rPr>
          <w:rFonts w:cs="Arial"/>
          <w:szCs w:val="22"/>
        </w:rPr>
      </w:pPr>
    </w:p>
    <w:p w14:paraId="18BE720F" w14:textId="77777777" w:rsidR="00B04B6E" w:rsidRPr="000A6875" w:rsidRDefault="00B04B6E" w:rsidP="00B04B6E">
      <w:pPr>
        <w:rPr>
          <w:rFonts w:cs="Arial"/>
          <w:szCs w:val="22"/>
        </w:rPr>
      </w:pPr>
      <w:r w:rsidRPr="000A6875">
        <w:rPr>
          <w:rFonts w:cs="Arial"/>
          <w:szCs w:val="22"/>
        </w:rPr>
        <w:t>7</w:t>
      </w:r>
      <w:r w:rsidRPr="000A6875">
        <w:rPr>
          <w:rFonts w:cs="Arial"/>
          <w:szCs w:val="22"/>
        </w:rPr>
        <w:tab/>
        <w:t xml:space="preserve">In the event of a change from one Company to another, the contribution made by the ship in accordance with paragraph 1 of this regulation shall cover the portion of the calendar year corresponding to the previous Company. </w:t>
      </w:r>
    </w:p>
    <w:p w14:paraId="5D2A635E" w14:textId="77777777" w:rsidR="00B04B6E" w:rsidRPr="000A6875" w:rsidRDefault="00B04B6E" w:rsidP="00B04B6E">
      <w:pPr>
        <w:rPr>
          <w:rFonts w:cs="Arial"/>
          <w:szCs w:val="22"/>
        </w:rPr>
      </w:pPr>
    </w:p>
    <w:p w14:paraId="3E330226" w14:textId="77777777" w:rsidR="00B04B6E" w:rsidRPr="000A6875" w:rsidRDefault="00B04B6E" w:rsidP="00B04B6E">
      <w:pPr>
        <w:rPr>
          <w:rFonts w:cs="Arial"/>
          <w:szCs w:val="22"/>
        </w:rPr>
      </w:pPr>
      <w:r w:rsidRPr="000A6875">
        <w:rPr>
          <w:rFonts w:cs="Arial"/>
          <w:szCs w:val="22"/>
        </w:rPr>
        <w:t>8</w:t>
      </w:r>
      <w:r w:rsidRPr="000A6875">
        <w:rPr>
          <w:rFonts w:cs="Arial"/>
          <w:szCs w:val="22"/>
        </w:rPr>
        <w:tab/>
        <w:t>In the event of change from one Administration to another and from one Company to another concurrently, paragraph 6 of this regulation shall apply.</w:t>
      </w:r>
    </w:p>
    <w:p w14:paraId="45E64AAA" w14:textId="77777777" w:rsidR="00B04B6E" w:rsidRPr="000A6875" w:rsidRDefault="00B04B6E" w:rsidP="00B04B6E">
      <w:pPr>
        <w:rPr>
          <w:rFonts w:cs="Arial"/>
          <w:szCs w:val="22"/>
        </w:rPr>
      </w:pPr>
    </w:p>
    <w:p w14:paraId="2ECB33F3" w14:textId="77777777" w:rsidR="00B04B6E" w:rsidRPr="000A6875" w:rsidRDefault="00B04B6E" w:rsidP="004656F3">
      <w:pPr>
        <w:rPr>
          <w:rFonts w:cs="Arial"/>
          <w:b/>
          <w:bCs/>
          <w:szCs w:val="22"/>
        </w:rPr>
      </w:pPr>
      <w:r w:rsidRPr="000A6875">
        <w:rPr>
          <w:rFonts w:cs="Arial"/>
          <w:b/>
          <w:bCs/>
          <w:szCs w:val="22"/>
        </w:rPr>
        <w:t>Regulation 36</w:t>
      </w:r>
    </w:p>
    <w:p w14:paraId="4494C319" w14:textId="77777777" w:rsidR="00B04B6E" w:rsidRPr="000A6875" w:rsidRDefault="00B04B6E" w:rsidP="004656F3">
      <w:pPr>
        <w:rPr>
          <w:rFonts w:cs="Arial"/>
          <w:b/>
          <w:bCs/>
          <w:szCs w:val="22"/>
        </w:rPr>
      </w:pPr>
    </w:p>
    <w:p w14:paraId="1A0D7D69" w14:textId="77777777" w:rsidR="00B04B6E" w:rsidRPr="000A6875" w:rsidRDefault="00B04B6E" w:rsidP="004656F3">
      <w:pPr>
        <w:rPr>
          <w:rFonts w:cs="Arial"/>
          <w:b/>
          <w:bCs/>
          <w:szCs w:val="22"/>
        </w:rPr>
      </w:pPr>
      <w:r w:rsidRPr="000A6875">
        <w:rPr>
          <w:rFonts w:cs="Arial"/>
          <w:i/>
          <w:iCs/>
          <w:szCs w:val="22"/>
        </w:rPr>
        <w:t>Rewards (feebates) disbursed by the Zero Emission Shipping Fund</w:t>
      </w:r>
    </w:p>
    <w:p w14:paraId="1290EB21" w14:textId="77777777" w:rsidR="00B04B6E" w:rsidRPr="000A6875" w:rsidRDefault="00B04B6E" w:rsidP="00B04B6E">
      <w:pPr>
        <w:rPr>
          <w:rFonts w:cs="Arial"/>
          <w:b/>
          <w:bCs/>
          <w:szCs w:val="22"/>
        </w:rPr>
      </w:pPr>
    </w:p>
    <w:p w14:paraId="5C991D7D" w14:textId="1A261EF3" w:rsidR="00B04B6E" w:rsidRPr="000A6875" w:rsidRDefault="00B04B6E" w:rsidP="00B04B6E">
      <w:pPr>
        <w:rPr>
          <w:rFonts w:cs="Arial"/>
          <w:szCs w:val="22"/>
        </w:rPr>
      </w:pPr>
      <w:r w:rsidRPr="000A6875">
        <w:rPr>
          <w:rFonts w:cs="Arial"/>
          <w:szCs w:val="22"/>
        </w:rPr>
        <w:t>1</w:t>
      </w:r>
      <w:r w:rsidRPr="000A6875">
        <w:rPr>
          <w:rFonts w:cs="Arial"/>
          <w:szCs w:val="22"/>
        </w:rPr>
        <w:tab/>
        <w:t>Each ship using an eligible zero or near-zero GHG fuel, technology and/or energy source shall receive a reward (feebate) from the ZESF based on a reward rate of [</w:t>
      </w:r>
      <w:r w:rsidR="003D3DA1" w:rsidRPr="000A6875">
        <w:rPr>
          <w:rFonts w:cs="Arial"/>
          <w:szCs w:val="22"/>
        </w:rPr>
        <w:t>…</w:t>
      </w:r>
      <w:r w:rsidRPr="000A6875">
        <w:rPr>
          <w:rFonts w:cs="Arial"/>
          <w:szCs w:val="22"/>
        </w:rPr>
        <w:t>] US$ per tonne of CO</w:t>
      </w:r>
      <w:r w:rsidRPr="000A6875">
        <w:rPr>
          <w:rFonts w:cs="Arial"/>
          <w:szCs w:val="22"/>
          <w:vertAlign w:val="subscript"/>
        </w:rPr>
        <w:t>2</w:t>
      </w:r>
      <w:r w:rsidRPr="000A6875">
        <w:rPr>
          <w:rFonts w:cs="Arial"/>
          <w:szCs w:val="22"/>
        </w:rPr>
        <w:t>e</w:t>
      </w:r>
      <w:r w:rsidRPr="000A6875">
        <w:rPr>
          <w:rFonts w:cs="Arial"/>
          <w:szCs w:val="22"/>
          <w:vertAlign w:val="subscript"/>
        </w:rPr>
        <w:t xml:space="preserve"> </w:t>
      </w:r>
      <w:r w:rsidRPr="000A6875">
        <w:rPr>
          <w:rFonts w:cs="Arial"/>
          <w:szCs w:val="22"/>
        </w:rPr>
        <w:t>emissions prevented each calendar year, with the equivalent reward rate per tonne of fuel consumed to be determined by the Organization, taking into account Guidelines adopted by the Organization.</w:t>
      </w:r>
      <w:r w:rsidRPr="000A6875">
        <w:rPr>
          <w:rStyle w:val="FootnoteReference"/>
          <w:rFonts w:cs="Arial"/>
          <w:szCs w:val="22"/>
        </w:rPr>
        <w:footnoteReference w:id="8"/>
      </w:r>
    </w:p>
    <w:p w14:paraId="790D2FB4" w14:textId="77777777" w:rsidR="00B04B6E" w:rsidRPr="000A6875" w:rsidRDefault="00B04B6E" w:rsidP="00B04B6E">
      <w:pPr>
        <w:rPr>
          <w:rFonts w:cs="Arial"/>
          <w:szCs w:val="22"/>
        </w:rPr>
      </w:pPr>
    </w:p>
    <w:p w14:paraId="09EC10CB" w14:textId="77777777" w:rsidR="00B04B6E" w:rsidRPr="000A6875" w:rsidRDefault="00B04B6E" w:rsidP="00B04B6E">
      <w:pPr>
        <w:rPr>
          <w:rFonts w:cs="Arial"/>
          <w:szCs w:val="22"/>
        </w:rPr>
      </w:pPr>
      <w:r w:rsidRPr="000A6875">
        <w:rPr>
          <w:rFonts w:cs="Arial"/>
          <w:szCs w:val="22"/>
        </w:rPr>
        <w:t>2</w:t>
      </w:r>
      <w:r w:rsidRPr="000A6875">
        <w:rPr>
          <w:rFonts w:cs="Arial"/>
          <w:szCs w:val="22"/>
        </w:rPr>
        <w:tab/>
        <w:t>Within three months after the end of each calendar year, each ship wishing to receive a reward (feebate) for CO</w:t>
      </w:r>
      <w:r w:rsidRPr="000A6875">
        <w:rPr>
          <w:rFonts w:cs="Arial"/>
          <w:szCs w:val="22"/>
          <w:vertAlign w:val="subscript"/>
        </w:rPr>
        <w:t>2</w:t>
      </w:r>
      <w:r w:rsidRPr="000A6875">
        <w:rPr>
          <w:rFonts w:cs="Arial"/>
          <w:szCs w:val="22"/>
        </w:rPr>
        <w:t xml:space="preserve">e emissions prevented during the previous calendar year shall provide the ZESF with fuel oil consumption data with respect to an eligible zero or near-zero GHG fuel, technology and/or energy source as reported to the Administration, or any organization duly authorized by it, in accordance with regulations </w:t>
      </w:r>
      <w:r w:rsidRPr="00191D29">
        <w:rPr>
          <w:rFonts w:cs="Arial"/>
          <w:szCs w:val="22"/>
        </w:rPr>
        <w:t xml:space="preserve">27.3, 27.4 or 27.5 </w:t>
      </w:r>
      <w:r w:rsidRPr="000A6875">
        <w:rPr>
          <w:rFonts w:cs="Arial"/>
          <w:szCs w:val="22"/>
        </w:rPr>
        <w:t>of this Annex.</w:t>
      </w:r>
      <w:r w:rsidRPr="000A6875">
        <w:rPr>
          <w:rStyle w:val="FootnoteReference"/>
          <w:rFonts w:cs="Arial"/>
          <w:szCs w:val="22"/>
        </w:rPr>
        <w:footnoteReference w:id="9"/>
      </w:r>
      <w:r w:rsidRPr="000A6875">
        <w:rPr>
          <w:rFonts w:cs="Arial"/>
          <w:szCs w:val="22"/>
        </w:rPr>
        <w:t xml:space="preserve"> </w:t>
      </w:r>
    </w:p>
    <w:p w14:paraId="404CEDB9" w14:textId="77777777" w:rsidR="00B04B6E" w:rsidRPr="000A6875" w:rsidRDefault="00B04B6E" w:rsidP="00B04B6E">
      <w:pPr>
        <w:rPr>
          <w:rFonts w:cs="Arial"/>
          <w:szCs w:val="22"/>
        </w:rPr>
      </w:pPr>
    </w:p>
    <w:p w14:paraId="6248B1F7" w14:textId="77777777" w:rsidR="00B04B6E" w:rsidRPr="000A6875" w:rsidRDefault="00B04B6E" w:rsidP="00B04B6E">
      <w:pPr>
        <w:rPr>
          <w:szCs w:val="22"/>
        </w:rPr>
      </w:pPr>
      <w:r w:rsidRPr="000A6875">
        <w:rPr>
          <w:szCs w:val="22"/>
        </w:rPr>
        <w:t>3</w:t>
      </w:r>
      <w:r w:rsidRPr="000A6875">
        <w:rPr>
          <w:szCs w:val="22"/>
        </w:rPr>
        <w:tab/>
        <w:t xml:space="preserve">No later than one month after receiving the data specified in </w:t>
      </w:r>
      <w:r w:rsidRPr="000A6875">
        <w:rPr>
          <w:szCs w:val="22"/>
        </w:rPr>
        <w:br/>
        <w:t>paragraph 2 of this regulation, the ZESF shall provide a Provisional Statement for each ship, which sets out the total rewards to be made for CO</w:t>
      </w:r>
      <w:r w:rsidRPr="000A6875">
        <w:rPr>
          <w:szCs w:val="22"/>
          <w:vertAlign w:val="subscript"/>
        </w:rPr>
        <w:t>2</w:t>
      </w:r>
      <w:r w:rsidRPr="000A6875">
        <w:rPr>
          <w:szCs w:val="22"/>
        </w:rPr>
        <w:t>e emissions prevented during the previous calendar year by the use of an eligible fuel,</w:t>
      </w:r>
      <w:r w:rsidRPr="000A6875">
        <w:rPr>
          <w:rFonts w:cs="Arial"/>
          <w:szCs w:val="22"/>
        </w:rPr>
        <w:t xml:space="preserve"> technology and/or energy source including the portion thereof as provided for in paragraphs 5 and 6 of this regulation.</w:t>
      </w:r>
    </w:p>
    <w:p w14:paraId="19E02FD1" w14:textId="77777777" w:rsidR="00B04B6E" w:rsidRPr="000A6875" w:rsidRDefault="00B04B6E" w:rsidP="00B04B6E">
      <w:pPr>
        <w:rPr>
          <w:szCs w:val="22"/>
        </w:rPr>
      </w:pPr>
    </w:p>
    <w:p w14:paraId="48972BA8" w14:textId="77777777" w:rsidR="00B04B6E" w:rsidRPr="000A6875" w:rsidRDefault="00B04B6E" w:rsidP="00B04B6E">
      <w:pPr>
        <w:rPr>
          <w:szCs w:val="22"/>
        </w:rPr>
      </w:pPr>
      <w:r w:rsidRPr="000A6875">
        <w:rPr>
          <w:szCs w:val="22"/>
        </w:rPr>
        <w:t>4</w:t>
      </w:r>
      <w:r w:rsidRPr="000A6875">
        <w:rPr>
          <w:szCs w:val="22"/>
        </w:rPr>
        <w:tab/>
        <w:t xml:space="preserve">No later than one month after receiving confirmation from the Company operating the ship that the Provisional Statement is correct, the ZESF will disburse the reward (feebate).   </w:t>
      </w:r>
    </w:p>
    <w:p w14:paraId="6A72B7DA" w14:textId="77777777" w:rsidR="00B04B6E" w:rsidRPr="000A6875" w:rsidRDefault="00B04B6E" w:rsidP="00B04B6E">
      <w:pPr>
        <w:rPr>
          <w:rFonts w:cs="Arial"/>
          <w:szCs w:val="22"/>
        </w:rPr>
      </w:pPr>
    </w:p>
    <w:p w14:paraId="4E040EA5" w14:textId="77777777" w:rsidR="00B04B6E" w:rsidRPr="000A6875" w:rsidRDefault="00B04B6E" w:rsidP="00B04B6E">
      <w:pPr>
        <w:rPr>
          <w:rFonts w:cs="Arial"/>
          <w:szCs w:val="22"/>
        </w:rPr>
      </w:pPr>
      <w:r w:rsidRPr="000A6875">
        <w:rPr>
          <w:rFonts w:cs="Arial"/>
          <w:szCs w:val="22"/>
        </w:rPr>
        <w:t>5</w:t>
      </w:r>
      <w:r w:rsidRPr="000A6875">
        <w:rPr>
          <w:rFonts w:cs="Arial"/>
          <w:szCs w:val="22"/>
        </w:rPr>
        <w:tab/>
        <w:t>In the event of the transfer of a ship from one Administration to another, the reward (feebate) received by the ship in accordance with paragraph 1 of this regulation shall cover the period of the calendar year corresponding to the losing Administration.</w:t>
      </w:r>
    </w:p>
    <w:p w14:paraId="0CB2B1BA" w14:textId="77777777" w:rsidR="00B04B6E" w:rsidRPr="000A6875" w:rsidRDefault="00B04B6E" w:rsidP="00B04B6E">
      <w:pPr>
        <w:rPr>
          <w:rFonts w:cs="Arial"/>
          <w:szCs w:val="22"/>
        </w:rPr>
      </w:pPr>
    </w:p>
    <w:p w14:paraId="3E58E19F" w14:textId="77777777" w:rsidR="00B04B6E" w:rsidRPr="000A6875" w:rsidRDefault="00B04B6E" w:rsidP="00B04B6E">
      <w:pPr>
        <w:rPr>
          <w:rFonts w:cs="Arial"/>
          <w:szCs w:val="22"/>
        </w:rPr>
      </w:pPr>
      <w:r w:rsidRPr="000A6875">
        <w:rPr>
          <w:rFonts w:cs="Arial"/>
          <w:szCs w:val="22"/>
        </w:rPr>
        <w:t>6</w:t>
      </w:r>
      <w:r w:rsidRPr="000A6875">
        <w:rPr>
          <w:rFonts w:cs="Arial"/>
          <w:szCs w:val="22"/>
        </w:rPr>
        <w:tab/>
        <w:t>In the event of a change from one Company to another, the contribution made by the ship in accordance with paragraph 1 of this regulation shall cover the portion of the calendar year corresponding to the previous Company.</w:t>
      </w:r>
    </w:p>
    <w:p w14:paraId="72D45B50" w14:textId="77777777" w:rsidR="00B04B6E" w:rsidRPr="000A6875" w:rsidRDefault="00B04B6E" w:rsidP="00B04B6E">
      <w:pPr>
        <w:rPr>
          <w:rFonts w:cs="Arial"/>
          <w:szCs w:val="22"/>
        </w:rPr>
      </w:pPr>
    </w:p>
    <w:p w14:paraId="57C00200" w14:textId="7D196493" w:rsidR="00B04B6E" w:rsidRPr="000A6875" w:rsidRDefault="00B04B6E" w:rsidP="00B04B6E">
      <w:pPr>
        <w:rPr>
          <w:rFonts w:cs="Arial"/>
          <w:szCs w:val="22"/>
        </w:rPr>
      </w:pPr>
      <w:r w:rsidRPr="000A6875">
        <w:rPr>
          <w:rFonts w:cs="Arial"/>
          <w:szCs w:val="22"/>
        </w:rPr>
        <w:lastRenderedPageBreak/>
        <w:t xml:space="preserve">7 </w:t>
      </w:r>
      <w:r w:rsidRPr="000A6875">
        <w:rPr>
          <w:rFonts w:cs="Arial"/>
          <w:szCs w:val="22"/>
        </w:rPr>
        <w:tab/>
        <w:t>With the approval of the Administration, a ship below</w:t>
      </w:r>
      <w:r w:rsidR="007015D0" w:rsidRPr="000A6875">
        <w:rPr>
          <w:rFonts w:cs="Arial"/>
          <w:szCs w:val="22"/>
        </w:rPr>
        <w:t xml:space="preserve"> </w:t>
      </w:r>
      <w:r w:rsidR="007710BF" w:rsidRPr="000A6875">
        <w:rPr>
          <w:rFonts w:cs="Arial"/>
          <w:szCs w:val="22"/>
        </w:rPr>
        <w:t>[</w:t>
      </w:r>
      <w:r w:rsidRPr="000A6875">
        <w:rPr>
          <w:rFonts w:cs="Arial"/>
          <w:szCs w:val="22"/>
        </w:rPr>
        <w:t>5,000</w:t>
      </w:r>
      <w:r w:rsidR="007710BF" w:rsidRPr="000A6875">
        <w:rPr>
          <w:rFonts w:cs="Arial"/>
          <w:szCs w:val="22"/>
        </w:rPr>
        <w:t>]</w:t>
      </w:r>
      <w:r w:rsidRPr="000A6875">
        <w:rPr>
          <w:rFonts w:cs="Arial"/>
          <w:szCs w:val="22"/>
        </w:rPr>
        <w:t xml:space="preserve"> gross tonnage may be eligible for rewards provided that contributions are made by the ship to the ZESF as required by regulation 35 of this Annex and that the Administration provides the Organization with fuel oil consumption data for that ship as reported to the Administration, or any organization duly authorized by it, in accordance with regulations 27.3, 27.4 or 27.5 of this Annex, and that a Statement of Compliance is issued to that ship in accordance with regulation 6.9 of this Annex. </w:t>
      </w:r>
      <w:r w:rsidR="00CF5D11" w:rsidRPr="000A6875">
        <w:rPr>
          <w:rFonts w:cs="Arial"/>
          <w:szCs w:val="22"/>
        </w:rPr>
        <w:t>R</w:t>
      </w:r>
      <w:r w:rsidRPr="000A6875">
        <w:rPr>
          <w:rFonts w:cs="Arial"/>
          <w:szCs w:val="22"/>
        </w:rPr>
        <w:t xml:space="preserve">egulation 6.10 of this Annex shall not apply to ships below </w:t>
      </w:r>
      <w:r w:rsidR="007710BF" w:rsidRPr="000A6875">
        <w:rPr>
          <w:rFonts w:cs="Arial"/>
          <w:szCs w:val="22"/>
        </w:rPr>
        <w:t>[</w:t>
      </w:r>
      <w:r w:rsidRPr="000A6875">
        <w:rPr>
          <w:rFonts w:cs="Arial"/>
          <w:szCs w:val="22"/>
        </w:rPr>
        <w:t>5,000</w:t>
      </w:r>
      <w:r w:rsidR="007710BF" w:rsidRPr="000A6875">
        <w:rPr>
          <w:rFonts w:cs="Arial"/>
          <w:szCs w:val="22"/>
        </w:rPr>
        <w:t>]</w:t>
      </w:r>
      <w:r w:rsidRPr="000A6875">
        <w:rPr>
          <w:rFonts w:cs="Arial"/>
          <w:szCs w:val="22"/>
        </w:rPr>
        <w:t xml:space="preserve"> gross tonnage.  </w:t>
      </w:r>
    </w:p>
    <w:p w14:paraId="7C19903D" w14:textId="77777777" w:rsidR="00B04B6E" w:rsidRPr="000A6875" w:rsidRDefault="00B04B6E" w:rsidP="00B04B6E">
      <w:pPr>
        <w:rPr>
          <w:rFonts w:cs="Arial"/>
          <w:b/>
          <w:bCs/>
          <w:szCs w:val="22"/>
        </w:rPr>
      </w:pPr>
    </w:p>
    <w:p w14:paraId="7BBF76FB" w14:textId="77777777" w:rsidR="00B04B6E" w:rsidRPr="000A6875" w:rsidRDefault="00B04B6E" w:rsidP="00B04B6E">
      <w:pPr>
        <w:rPr>
          <w:rFonts w:cs="Arial"/>
          <w:b/>
          <w:bCs/>
          <w:szCs w:val="22"/>
        </w:rPr>
      </w:pPr>
      <w:r w:rsidRPr="000A6875">
        <w:rPr>
          <w:rFonts w:cs="Arial"/>
          <w:b/>
          <w:bCs/>
          <w:szCs w:val="22"/>
        </w:rPr>
        <w:t>Regulation 37</w:t>
      </w:r>
    </w:p>
    <w:p w14:paraId="7B448114" w14:textId="77777777" w:rsidR="00B04B6E" w:rsidRPr="000A6875" w:rsidRDefault="00B04B6E" w:rsidP="00B04B6E">
      <w:pPr>
        <w:rPr>
          <w:rFonts w:cs="Arial"/>
          <w:b/>
          <w:bCs/>
          <w:szCs w:val="22"/>
        </w:rPr>
      </w:pPr>
    </w:p>
    <w:p w14:paraId="0E18CCE3" w14:textId="77777777" w:rsidR="00B04B6E" w:rsidRPr="000A6875" w:rsidRDefault="00B04B6E" w:rsidP="00B04B6E">
      <w:pPr>
        <w:rPr>
          <w:rFonts w:cs="Arial"/>
          <w:i/>
          <w:iCs/>
          <w:szCs w:val="22"/>
        </w:rPr>
      </w:pPr>
      <w:r w:rsidRPr="000A6875">
        <w:rPr>
          <w:rFonts w:cs="Arial"/>
          <w:i/>
          <w:iCs/>
          <w:szCs w:val="22"/>
        </w:rPr>
        <w:t xml:space="preserve">Dates for implementation </w:t>
      </w:r>
    </w:p>
    <w:p w14:paraId="6878D43D" w14:textId="77777777" w:rsidR="00B04B6E" w:rsidRPr="000A6875" w:rsidRDefault="00B04B6E" w:rsidP="00B04B6E">
      <w:pPr>
        <w:rPr>
          <w:rFonts w:cs="Arial"/>
          <w:szCs w:val="22"/>
        </w:rPr>
      </w:pPr>
    </w:p>
    <w:p w14:paraId="7E7315B4" w14:textId="523446C6" w:rsidR="00B04B6E" w:rsidRPr="000A6875" w:rsidRDefault="00B04B6E" w:rsidP="00B04B6E">
      <w:pPr>
        <w:rPr>
          <w:rFonts w:cs="Arial"/>
          <w:szCs w:val="22"/>
        </w:rPr>
      </w:pPr>
      <w:r w:rsidRPr="000A6875">
        <w:rPr>
          <w:rFonts w:cs="Arial"/>
          <w:szCs w:val="22"/>
        </w:rPr>
        <w:t>1</w:t>
      </w:r>
      <w:r w:rsidRPr="000A6875">
        <w:rPr>
          <w:rFonts w:cs="Arial"/>
          <w:szCs w:val="22"/>
        </w:rPr>
        <w:tab/>
        <w:t>Implementation of the requirements stipulated under regulation 35 of this Annex shall commence on a date after the ZESF has been established in accordance with the requirements of regulations 33 of this Annex</w:t>
      </w:r>
      <w:r w:rsidR="00002578" w:rsidRPr="000A6875">
        <w:rPr>
          <w:rFonts w:cs="Arial"/>
          <w:szCs w:val="22"/>
        </w:rPr>
        <w:t xml:space="preserve"> </w:t>
      </w:r>
      <w:r w:rsidRPr="000A6875">
        <w:rPr>
          <w:rFonts w:cs="Arial"/>
          <w:szCs w:val="22"/>
        </w:rPr>
        <w:t xml:space="preserve">and that the ZESF is ready to commence operations.  </w:t>
      </w:r>
    </w:p>
    <w:p w14:paraId="201489A9" w14:textId="77777777" w:rsidR="00B04B6E" w:rsidRPr="000A6875" w:rsidRDefault="00B04B6E" w:rsidP="00B04B6E">
      <w:pPr>
        <w:rPr>
          <w:rFonts w:cs="Arial"/>
          <w:szCs w:val="22"/>
        </w:rPr>
      </w:pPr>
    </w:p>
    <w:p w14:paraId="4EF1E831" w14:textId="77777777" w:rsidR="00B04B6E" w:rsidRPr="000A6875" w:rsidRDefault="00B04B6E" w:rsidP="00B04B6E">
      <w:pPr>
        <w:rPr>
          <w:rFonts w:cs="Arial"/>
          <w:szCs w:val="22"/>
        </w:rPr>
      </w:pPr>
      <w:r w:rsidRPr="000A6875">
        <w:rPr>
          <w:rFonts w:cs="Arial"/>
          <w:szCs w:val="22"/>
        </w:rPr>
        <w:t>2</w:t>
      </w:r>
      <w:r w:rsidRPr="000A6875">
        <w:rPr>
          <w:rFonts w:cs="Arial"/>
          <w:szCs w:val="22"/>
        </w:rPr>
        <w:tab/>
        <w:t xml:space="preserve">Implementation of the requirements stipulated under regulation 36 of this Annex shall commence on a date 12 months after implementation of the requirements stipulated under regulation 35 of this Annex. </w:t>
      </w:r>
    </w:p>
    <w:p w14:paraId="31658ACD" w14:textId="77777777" w:rsidR="00B04B6E" w:rsidRPr="000A6875" w:rsidRDefault="00B04B6E" w:rsidP="00B04B6E">
      <w:pPr>
        <w:rPr>
          <w:rFonts w:cs="Arial"/>
          <w:szCs w:val="22"/>
        </w:rPr>
      </w:pPr>
    </w:p>
    <w:p w14:paraId="1F8A9CA3" w14:textId="3A8BFF02" w:rsidR="00B04B6E" w:rsidRPr="000A6875" w:rsidRDefault="00B04B6E" w:rsidP="00B04B6E">
      <w:pPr>
        <w:rPr>
          <w:rFonts w:cs="Arial"/>
          <w:szCs w:val="22"/>
        </w:rPr>
      </w:pPr>
      <w:r w:rsidRPr="000A6875">
        <w:rPr>
          <w:rFonts w:cs="Arial"/>
          <w:szCs w:val="22"/>
        </w:rPr>
        <w:t>3</w:t>
      </w:r>
      <w:r w:rsidRPr="000A6875">
        <w:rPr>
          <w:rFonts w:cs="Arial"/>
          <w:szCs w:val="22"/>
        </w:rPr>
        <w:tab/>
        <w:t xml:space="preserve">The Organization shall review and confirm that the requirements under </w:t>
      </w:r>
      <w:r w:rsidRPr="000A6875">
        <w:rPr>
          <w:rFonts w:cs="Arial"/>
          <w:szCs w:val="22"/>
        </w:rPr>
        <w:br/>
        <w:t>regulations 33 and 34 of this Annex have been met no later than 12 months after entry into force of chapter 6 of this Annex.  The Parties, based on the review undertaken by the Organization, shall decide whether the ZESF shall commence operations. If the Parties to  this chapter decide that the ZESF is not ready to commence operations then a further review s</w:t>
      </w:r>
      <w:r w:rsidR="00CC50DD" w:rsidRPr="000A6875">
        <w:rPr>
          <w:rFonts w:cs="Arial"/>
          <w:szCs w:val="22"/>
        </w:rPr>
        <w:t xml:space="preserve">hall </w:t>
      </w:r>
      <w:r w:rsidRPr="000A6875">
        <w:rPr>
          <w:rFonts w:cs="Arial"/>
          <w:szCs w:val="22"/>
        </w:rPr>
        <w:t>be undertaken within six months.</w:t>
      </w:r>
    </w:p>
    <w:p w14:paraId="23A7DB9A" w14:textId="77777777" w:rsidR="00B04B6E" w:rsidRPr="000A6875" w:rsidRDefault="00B04B6E" w:rsidP="00B04B6E">
      <w:pPr>
        <w:rPr>
          <w:rFonts w:cs="Arial"/>
          <w:szCs w:val="22"/>
        </w:rPr>
      </w:pPr>
    </w:p>
    <w:p w14:paraId="79A07A3C" w14:textId="77777777" w:rsidR="00B04B6E" w:rsidRPr="000A6875" w:rsidRDefault="00B04B6E" w:rsidP="004656F3">
      <w:pPr>
        <w:rPr>
          <w:rFonts w:cs="Arial"/>
          <w:b/>
          <w:bCs/>
          <w:szCs w:val="22"/>
        </w:rPr>
      </w:pPr>
      <w:r w:rsidRPr="000A6875">
        <w:rPr>
          <w:rFonts w:cs="Arial"/>
          <w:b/>
          <w:bCs/>
          <w:szCs w:val="22"/>
        </w:rPr>
        <w:t xml:space="preserve">Regulation 38 </w:t>
      </w:r>
    </w:p>
    <w:p w14:paraId="1C7E4117" w14:textId="77777777" w:rsidR="00B04B6E" w:rsidRPr="000A6875" w:rsidRDefault="00B04B6E" w:rsidP="004656F3">
      <w:pPr>
        <w:rPr>
          <w:rFonts w:cs="Arial"/>
          <w:b/>
          <w:bCs/>
          <w:szCs w:val="22"/>
        </w:rPr>
      </w:pPr>
    </w:p>
    <w:p w14:paraId="3293DB69" w14:textId="77777777" w:rsidR="00B04B6E" w:rsidRPr="000A6875" w:rsidRDefault="00B04B6E" w:rsidP="004656F3">
      <w:pPr>
        <w:rPr>
          <w:rFonts w:cs="Arial"/>
          <w:i/>
          <w:iCs/>
          <w:szCs w:val="22"/>
        </w:rPr>
      </w:pPr>
      <w:r w:rsidRPr="000A6875">
        <w:rPr>
          <w:rFonts w:cs="Arial"/>
          <w:i/>
          <w:iCs/>
          <w:szCs w:val="22"/>
        </w:rPr>
        <w:t>Review of this chapter</w:t>
      </w:r>
    </w:p>
    <w:p w14:paraId="6D550CA1" w14:textId="77777777" w:rsidR="00B04B6E" w:rsidRPr="000A6875" w:rsidRDefault="00B04B6E" w:rsidP="004656F3">
      <w:pPr>
        <w:rPr>
          <w:rFonts w:cs="Arial"/>
          <w:szCs w:val="22"/>
        </w:rPr>
      </w:pPr>
    </w:p>
    <w:p w14:paraId="72D2733F" w14:textId="77777777" w:rsidR="00B04B6E" w:rsidRPr="000A6875" w:rsidRDefault="00B04B6E" w:rsidP="004656F3">
      <w:pPr>
        <w:rPr>
          <w:rFonts w:cs="Arial"/>
          <w:szCs w:val="22"/>
        </w:rPr>
      </w:pPr>
      <w:r w:rsidRPr="000A6875">
        <w:rPr>
          <w:rFonts w:cs="Arial"/>
          <w:szCs w:val="22"/>
        </w:rPr>
        <w:t>1</w:t>
      </w:r>
      <w:r w:rsidRPr="000A6875">
        <w:rPr>
          <w:rFonts w:cs="Arial"/>
          <w:szCs w:val="22"/>
        </w:rPr>
        <w:tab/>
        <w:t xml:space="preserve">After a period of two years, beginning on the date that this chapter enters into force, the Organization shall review the status of this chapter and amend the relevant provisions if necessary. </w:t>
      </w:r>
    </w:p>
    <w:p w14:paraId="0E9C3459" w14:textId="77777777" w:rsidR="00B04B6E" w:rsidRPr="000A6875" w:rsidRDefault="00B04B6E" w:rsidP="00B04B6E">
      <w:pPr>
        <w:rPr>
          <w:rFonts w:cs="Arial"/>
          <w:szCs w:val="22"/>
        </w:rPr>
      </w:pPr>
    </w:p>
    <w:p w14:paraId="1990E292" w14:textId="77777777" w:rsidR="00B04B6E" w:rsidRPr="000A6875" w:rsidRDefault="00B04B6E" w:rsidP="00B04B6E">
      <w:pPr>
        <w:rPr>
          <w:rFonts w:cs="Arial"/>
          <w:szCs w:val="22"/>
        </w:rPr>
      </w:pPr>
      <w:r w:rsidRPr="000A6875">
        <w:rPr>
          <w:rFonts w:cs="Arial"/>
          <w:szCs w:val="22"/>
        </w:rPr>
        <w:t>2</w:t>
      </w:r>
      <w:r w:rsidRPr="000A6875">
        <w:rPr>
          <w:rFonts w:cs="Arial"/>
          <w:szCs w:val="22"/>
        </w:rPr>
        <w:tab/>
        <w:t xml:space="preserve">Upon completion of the ZESF’s or IMSF’s work programmes, and with the approval of the Organization, the ZESF and/or, as appropriate, the IMSF shall cease operations. Upon such a determination, chapter 6 of this Annex and its requirements shall be dissolved, unless the Parties determine otherwise.  </w:t>
      </w:r>
    </w:p>
    <w:p w14:paraId="6650C345" w14:textId="77777777" w:rsidR="00B04B6E" w:rsidRPr="000A6875" w:rsidRDefault="00B04B6E" w:rsidP="00B04B6E">
      <w:pPr>
        <w:rPr>
          <w:rFonts w:cs="Arial"/>
          <w:szCs w:val="22"/>
        </w:rPr>
      </w:pPr>
    </w:p>
    <w:p w14:paraId="76768C57" w14:textId="77777777" w:rsidR="00B04B6E" w:rsidRPr="000A6875" w:rsidRDefault="00B04B6E" w:rsidP="00B04B6E">
      <w:pPr>
        <w:rPr>
          <w:rFonts w:cs="Arial"/>
          <w:szCs w:val="22"/>
        </w:rPr>
      </w:pPr>
    </w:p>
    <w:p w14:paraId="3CF2EDAD" w14:textId="77777777" w:rsidR="00B04B6E" w:rsidRPr="000A6875" w:rsidRDefault="00B04B6E" w:rsidP="00B04B6E">
      <w:pPr>
        <w:jc w:val="center"/>
        <w:rPr>
          <w:rFonts w:cs="Arial"/>
          <w:szCs w:val="22"/>
        </w:rPr>
      </w:pPr>
      <w:r w:rsidRPr="000A6875">
        <w:rPr>
          <w:rFonts w:cs="Arial"/>
          <w:szCs w:val="22"/>
        </w:rPr>
        <w:t>***</w:t>
      </w:r>
    </w:p>
    <w:p w14:paraId="4E94DA4B" w14:textId="77777777" w:rsidR="00B04B6E" w:rsidRPr="000A6875" w:rsidRDefault="00B04B6E" w:rsidP="00B04B6E">
      <w:pPr>
        <w:jc w:val="center"/>
        <w:rPr>
          <w:rFonts w:cs="Arial"/>
          <w:szCs w:val="22"/>
        </w:rPr>
      </w:pPr>
    </w:p>
    <w:p w14:paraId="3F873DEC" w14:textId="77777777" w:rsidR="00B04B6E" w:rsidRPr="000A6875" w:rsidRDefault="00B04B6E" w:rsidP="00B04B6E">
      <w:pPr>
        <w:rPr>
          <w:rFonts w:cs="Arial"/>
          <w:szCs w:val="22"/>
        </w:rPr>
        <w:sectPr w:rsidR="00B04B6E" w:rsidRPr="000A6875" w:rsidSect="00DF3E2F">
          <w:headerReference w:type="even" r:id="rId31"/>
          <w:headerReference w:type="default" r:id="rId32"/>
          <w:footnotePr>
            <w:numRestart w:val="eachSect"/>
          </w:footnotePr>
          <w:type w:val="continuous"/>
          <w:pgSz w:w="11906" w:h="16838"/>
          <w:pgMar w:top="1440" w:right="1440" w:bottom="1440" w:left="1440" w:header="709" w:footer="709" w:gutter="0"/>
          <w:pgNumType w:start="1"/>
          <w:cols w:space="708"/>
          <w:docGrid w:linePitch="360"/>
        </w:sectPr>
      </w:pPr>
    </w:p>
    <w:p w14:paraId="425F55EF" w14:textId="77777777" w:rsidR="00B04B6E" w:rsidRPr="000A6875" w:rsidRDefault="00B04B6E" w:rsidP="00B04B6E">
      <w:pPr>
        <w:jc w:val="center"/>
        <w:rPr>
          <w:rFonts w:cs="Arial"/>
          <w:b/>
          <w:bCs/>
          <w:caps/>
          <w:szCs w:val="22"/>
        </w:rPr>
      </w:pPr>
      <w:r w:rsidRPr="000A6875">
        <w:rPr>
          <w:rFonts w:cs="Arial"/>
          <w:b/>
          <w:bCs/>
          <w:caps/>
          <w:szCs w:val="22"/>
        </w:rPr>
        <w:lastRenderedPageBreak/>
        <w:t>appendix [XII]</w:t>
      </w:r>
    </w:p>
    <w:p w14:paraId="5E708B70" w14:textId="77777777" w:rsidR="00B04B6E" w:rsidRPr="000A6875" w:rsidRDefault="00B04B6E" w:rsidP="00B04B6E">
      <w:pPr>
        <w:rPr>
          <w:rFonts w:cs="Arial"/>
          <w:b/>
          <w:bCs/>
          <w:szCs w:val="22"/>
        </w:rPr>
      </w:pPr>
    </w:p>
    <w:p w14:paraId="1EA22AD2" w14:textId="77777777" w:rsidR="00B04B6E" w:rsidRPr="000A6875" w:rsidRDefault="00B04B6E" w:rsidP="00B04B6E">
      <w:pPr>
        <w:jc w:val="center"/>
        <w:rPr>
          <w:rFonts w:cs="Arial"/>
          <w:b/>
          <w:bCs/>
          <w:szCs w:val="22"/>
        </w:rPr>
      </w:pPr>
      <w:r w:rsidRPr="000A6875">
        <w:rPr>
          <w:rFonts w:cs="Arial"/>
          <w:b/>
          <w:bCs/>
          <w:szCs w:val="22"/>
        </w:rPr>
        <w:t>Form of the Statement of Compliance – Zero Emission Shipping Fund</w:t>
      </w:r>
    </w:p>
    <w:p w14:paraId="4E5179AE" w14:textId="77777777" w:rsidR="00B04B6E" w:rsidRPr="000A6875" w:rsidRDefault="00B04B6E" w:rsidP="00B04B6E">
      <w:pPr>
        <w:rPr>
          <w:rFonts w:cs="Arial"/>
          <w:szCs w:val="22"/>
        </w:rPr>
      </w:pPr>
    </w:p>
    <w:p w14:paraId="26B5D550" w14:textId="76EC6F25" w:rsidR="00B04B6E" w:rsidRPr="000A6875" w:rsidRDefault="00B04B6E" w:rsidP="00B04B6E">
      <w:pPr>
        <w:jc w:val="center"/>
        <w:rPr>
          <w:rFonts w:cs="Arial"/>
          <w:b/>
          <w:bCs/>
          <w:szCs w:val="22"/>
        </w:rPr>
      </w:pPr>
      <w:r w:rsidRPr="000A6875">
        <w:rPr>
          <w:rFonts w:cs="Arial"/>
          <w:b/>
          <w:bCs/>
          <w:szCs w:val="22"/>
        </w:rPr>
        <w:t xml:space="preserve">STATEMENT OF COMPLIANCE – ZERO </w:t>
      </w:r>
      <w:r w:rsidR="00A9530F" w:rsidRPr="000A6875">
        <w:rPr>
          <w:rFonts w:cs="Arial"/>
          <w:b/>
          <w:bCs/>
          <w:szCs w:val="22"/>
        </w:rPr>
        <w:t>EMISSION SHIPPING</w:t>
      </w:r>
      <w:r w:rsidRPr="000A6875">
        <w:rPr>
          <w:rFonts w:cs="Arial"/>
          <w:b/>
          <w:bCs/>
          <w:szCs w:val="22"/>
        </w:rPr>
        <w:t xml:space="preserve"> FUND</w:t>
      </w:r>
    </w:p>
    <w:p w14:paraId="28C53462" w14:textId="77777777" w:rsidR="00B04B6E" w:rsidRPr="000A6875" w:rsidRDefault="00B04B6E" w:rsidP="00B04B6E">
      <w:pPr>
        <w:rPr>
          <w:rFonts w:cs="Arial"/>
          <w:szCs w:val="22"/>
        </w:rPr>
      </w:pPr>
    </w:p>
    <w:p w14:paraId="307750AB" w14:textId="77777777" w:rsidR="00B04B6E" w:rsidRPr="000A6875" w:rsidRDefault="00B04B6E" w:rsidP="00B04B6E">
      <w:pPr>
        <w:rPr>
          <w:rFonts w:cs="Arial"/>
          <w:szCs w:val="22"/>
        </w:rPr>
      </w:pPr>
      <w:r w:rsidRPr="000A6875">
        <w:rPr>
          <w:rFonts w:cs="Arial"/>
          <w:szCs w:val="22"/>
        </w:rPr>
        <w:t>Issued under the provisions of the Protocol of 1997, as amended, to amend the International Convention for the Prevention of Pollution from Ships, 1973, as modified by the Protocol of 1978 related thereto (hereinafter referred to as "the Convention") under the authority of the Government of:</w:t>
      </w:r>
    </w:p>
    <w:p w14:paraId="6C5E8B62" w14:textId="77777777" w:rsidR="00B04B6E" w:rsidRPr="000A6875" w:rsidRDefault="00B04B6E" w:rsidP="00B04B6E">
      <w:pPr>
        <w:rPr>
          <w:rFonts w:cs="Arial"/>
          <w:szCs w:val="22"/>
        </w:rPr>
      </w:pPr>
    </w:p>
    <w:p w14:paraId="02161196" w14:textId="77777777" w:rsidR="00B04B6E" w:rsidRPr="000A6875" w:rsidRDefault="00B04B6E" w:rsidP="00B04B6E">
      <w:pPr>
        <w:rPr>
          <w:rFonts w:cs="Arial"/>
          <w:szCs w:val="22"/>
        </w:rPr>
      </w:pPr>
      <w:r w:rsidRPr="000A6875">
        <w:rPr>
          <w:rFonts w:cs="Arial"/>
          <w:szCs w:val="22"/>
        </w:rPr>
        <w:t xml:space="preserve">. . . . . . . . . . . . . . . . . . . . . . . . . . . . . . . . . . . . . . . . . . . . . . . . . . . . . . . . . . . . . . . . . . . . </w:t>
      </w:r>
    </w:p>
    <w:p w14:paraId="23AD5906" w14:textId="77777777" w:rsidR="00B04B6E" w:rsidRPr="000A6875" w:rsidRDefault="00B04B6E" w:rsidP="00B04B6E">
      <w:pPr>
        <w:rPr>
          <w:rFonts w:cs="Arial"/>
          <w:szCs w:val="22"/>
        </w:rPr>
      </w:pPr>
      <w:r w:rsidRPr="000A6875">
        <w:rPr>
          <w:rFonts w:cs="Arial"/>
          <w:szCs w:val="22"/>
        </w:rPr>
        <w:t>(</w:t>
      </w:r>
      <w:r w:rsidRPr="000A6875">
        <w:rPr>
          <w:rFonts w:cs="Arial"/>
          <w:i/>
          <w:iCs/>
          <w:szCs w:val="22"/>
        </w:rPr>
        <w:t>full designation of the Party</w:t>
      </w:r>
      <w:r w:rsidRPr="000A6875">
        <w:rPr>
          <w:rFonts w:cs="Arial"/>
          <w:szCs w:val="22"/>
        </w:rPr>
        <w:t>)</w:t>
      </w:r>
    </w:p>
    <w:p w14:paraId="4C3CF121" w14:textId="77777777" w:rsidR="00B04B6E" w:rsidRPr="000A6875" w:rsidRDefault="00B04B6E" w:rsidP="00B04B6E">
      <w:pPr>
        <w:rPr>
          <w:rFonts w:cs="Arial"/>
          <w:szCs w:val="22"/>
        </w:rPr>
      </w:pPr>
    </w:p>
    <w:p w14:paraId="58FB6770" w14:textId="77777777" w:rsidR="00B04B6E" w:rsidRPr="000A6875" w:rsidRDefault="00B04B6E" w:rsidP="00B04B6E">
      <w:pPr>
        <w:rPr>
          <w:rFonts w:cs="Arial"/>
          <w:szCs w:val="22"/>
        </w:rPr>
      </w:pPr>
      <w:r w:rsidRPr="000A6875">
        <w:rPr>
          <w:rFonts w:cs="Arial"/>
          <w:szCs w:val="22"/>
        </w:rPr>
        <w:t xml:space="preserve">by . . . . . . . . . . . . . . . . . . . . . . . . . . . . . . . . . . . . . . . . . . . . . . . . . . . . . . . . . . . . . . . . . . </w:t>
      </w:r>
    </w:p>
    <w:p w14:paraId="3FBC1578" w14:textId="77777777" w:rsidR="00B04B6E" w:rsidRPr="000A6875" w:rsidRDefault="00B04B6E" w:rsidP="00B04B6E">
      <w:pPr>
        <w:rPr>
          <w:rFonts w:cs="Arial"/>
          <w:szCs w:val="22"/>
        </w:rPr>
      </w:pPr>
      <w:r w:rsidRPr="000A6875">
        <w:rPr>
          <w:rFonts w:cs="Arial"/>
          <w:szCs w:val="22"/>
        </w:rPr>
        <w:t>(</w:t>
      </w:r>
      <w:r w:rsidRPr="000A6875">
        <w:rPr>
          <w:rFonts w:cs="Arial"/>
          <w:i/>
          <w:iCs/>
          <w:szCs w:val="22"/>
        </w:rPr>
        <w:t>full designation of the competent person or organization authorized under the provisions of the Convention</w:t>
      </w:r>
      <w:r w:rsidRPr="000A6875">
        <w:rPr>
          <w:rFonts w:cs="Arial"/>
          <w:szCs w:val="22"/>
        </w:rPr>
        <w:t>)</w:t>
      </w:r>
    </w:p>
    <w:p w14:paraId="2D907802" w14:textId="77777777" w:rsidR="00B04B6E" w:rsidRPr="000A6875" w:rsidRDefault="00B04B6E" w:rsidP="00B04B6E">
      <w:pPr>
        <w:rPr>
          <w:rFonts w:cs="Arial"/>
          <w:szCs w:val="22"/>
        </w:rPr>
      </w:pPr>
    </w:p>
    <w:p w14:paraId="1A58AF48" w14:textId="77777777" w:rsidR="00B04B6E" w:rsidRPr="000A6875" w:rsidRDefault="00B04B6E" w:rsidP="00B04B6E">
      <w:pPr>
        <w:rPr>
          <w:rFonts w:cs="Arial"/>
          <w:szCs w:val="22"/>
        </w:rPr>
      </w:pPr>
      <w:r w:rsidRPr="000A6875">
        <w:rPr>
          <w:rFonts w:cs="Arial"/>
          <w:b/>
          <w:bCs/>
          <w:szCs w:val="22"/>
        </w:rPr>
        <w:t>Particulars of ship</w:t>
      </w:r>
      <w:r w:rsidRPr="000A6875">
        <w:rPr>
          <w:rStyle w:val="FootnoteReference"/>
          <w:rFonts w:cs="Arial"/>
          <w:szCs w:val="22"/>
        </w:rPr>
        <w:footnoteReference w:id="10"/>
      </w:r>
    </w:p>
    <w:p w14:paraId="57492CBB" w14:textId="77777777" w:rsidR="00B04B6E" w:rsidRPr="000A6875" w:rsidRDefault="00B04B6E" w:rsidP="00B04B6E">
      <w:pPr>
        <w:rPr>
          <w:rFonts w:cs="Arial"/>
          <w:szCs w:val="22"/>
        </w:rPr>
      </w:pPr>
    </w:p>
    <w:p w14:paraId="2D45D807" w14:textId="77777777" w:rsidR="00B04B6E" w:rsidRPr="000A6875" w:rsidRDefault="00B04B6E" w:rsidP="00B04B6E">
      <w:pPr>
        <w:rPr>
          <w:rFonts w:cs="Arial"/>
          <w:szCs w:val="22"/>
        </w:rPr>
      </w:pPr>
      <w:r w:rsidRPr="000A6875">
        <w:rPr>
          <w:rFonts w:cs="Arial"/>
          <w:szCs w:val="22"/>
        </w:rPr>
        <w:t>Name of ship . . . . . . . . . . . . . . . . . . . . . . . . . . . . . . . . . . . . . . . . . . . . . . . . . . . . . . . . .</w:t>
      </w:r>
    </w:p>
    <w:p w14:paraId="6B7D5311" w14:textId="77777777" w:rsidR="00B04B6E" w:rsidRPr="000A6875" w:rsidRDefault="00B04B6E" w:rsidP="00B04B6E">
      <w:pPr>
        <w:rPr>
          <w:rFonts w:cs="Arial"/>
          <w:szCs w:val="22"/>
        </w:rPr>
      </w:pPr>
    </w:p>
    <w:p w14:paraId="41E89ACD" w14:textId="77777777" w:rsidR="00B04B6E" w:rsidRPr="000A6875" w:rsidRDefault="00B04B6E" w:rsidP="00B04B6E">
      <w:pPr>
        <w:rPr>
          <w:rFonts w:cs="Arial"/>
          <w:szCs w:val="22"/>
        </w:rPr>
      </w:pPr>
      <w:r w:rsidRPr="000A6875">
        <w:rPr>
          <w:rFonts w:cs="Arial"/>
          <w:szCs w:val="22"/>
        </w:rPr>
        <w:t>Distinctive number or letters. . . . . . . . . . . . . . . . . . . . . . . . . . . . . . . . . . . . . . . . . . . . .</w:t>
      </w:r>
    </w:p>
    <w:p w14:paraId="13878C68" w14:textId="77777777" w:rsidR="00B04B6E" w:rsidRPr="000A6875" w:rsidRDefault="00B04B6E" w:rsidP="00B04B6E">
      <w:pPr>
        <w:rPr>
          <w:rFonts w:cs="Arial"/>
          <w:szCs w:val="22"/>
        </w:rPr>
      </w:pPr>
    </w:p>
    <w:p w14:paraId="522234C4" w14:textId="77777777" w:rsidR="00B04B6E" w:rsidRPr="000A6875" w:rsidRDefault="00B04B6E" w:rsidP="00B04B6E">
      <w:pPr>
        <w:rPr>
          <w:rFonts w:cs="Arial"/>
          <w:szCs w:val="22"/>
        </w:rPr>
      </w:pPr>
      <w:r w:rsidRPr="000A6875">
        <w:rPr>
          <w:rFonts w:cs="Arial"/>
          <w:szCs w:val="22"/>
        </w:rPr>
        <w:t>IMO Number</w:t>
      </w:r>
      <w:r w:rsidRPr="000A6875">
        <w:rPr>
          <w:rStyle w:val="FootnoteReference"/>
          <w:rFonts w:cs="Arial"/>
          <w:szCs w:val="22"/>
        </w:rPr>
        <w:footnoteReference w:id="11"/>
      </w:r>
      <w:r w:rsidRPr="000A6875">
        <w:rPr>
          <w:rFonts w:cs="Arial"/>
          <w:szCs w:val="22"/>
        </w:rPr>
        <w:t xml:space="preserve">  . . . . . . . . . . . . . . . . . . . . . . . . . . . . . . . . . . . . . . . . . . . . . . . . . . . . . . . . . </w:t>
      </w:r>
    </w:p>
    <w:p w14:paraId="054F2BE2" w14:textId="77777777" w:rsidR="00B04B6E" w:rsidRPr="000A6875" w:rsidRDefault="00B04B6E" w:rsidP="00B04B6E">
      <w:pPr>
        <w:rPr>
          <w:rFonts w:cs="Arial"/>
          <w:szCs w:val="22"/>
        </w:rPr>
      </w:pPr>
    </w:p>
    <w:p w14:paraId="49532710" w14:textId="77777777" w:rsidR="00B04B6E" w:rsidRPr="000A6875" w:rsidRDefault="00B04B6E" w:rsidP="00B04B6E">
      <w:pPr>
        <w:rPr>
          <w:rFonts w:cs="Arial"/>
          <w:szCs w:val="22"/>
        </w:rPr>
      </w:pPr>
      <w:r w:rsidRPr="000A6875">
        <w:rPr>
          <w:rFonts w:cs="Arial"/>
          <w:szCs w:val="22"/>
        </w:rPr>
        <w:t xml:space="preserve">Port of registry . . . . . . . . . . . . . . . . . . . . . . . . . . . . . . . . . . . . . . . . . . . . . . . . . . . . . . . . </w:t>
      </w:r>
    </w:p>
    <w:p w14:paraId="160E5FDD" w14:textId="77777777" w:rsidR="00B04B6E" w:rsidRPr="000A6875" w:rsidRDefault="00B04B6E" w:rsidP="00B04B6E">
      <w:pPr>
        <w:rPr>
          <w:rFonts w:cs="Arial"/>
          <w:szCs w:val="22"/>
        </w:rPr>
      </w:pPr>
    </w:p>
    <w:p w14:paraId="40806CF7" w14:textId="77777777" w:rsidR="00B04B6E" w:rsidRPr="000A6875" w:rsidRDefault="00B04B6E" w:rsidP="00B04B6E">
      <w:pPr>
        <w:rPr>
          <w:rFonts w:cs="Arial"/>
          <w:szCs w:val="22"/>
        </w:rPr>
      </w:pPr>
      <w:r w:rsidRPr="000A6875">
        <w:rPr>
          <w:rFonts w:cs="Arial"/>
          <w:szCs w:val="22"/>
        </w:rPr>
        <w:t xml:space="preserve">Gross tonnage. . . . . . . . . . . . . . . . . . . . . . . . . . . . . . . . . . . . . . . . . . .. . . . . . . . . . . . . .   </w:t>
      </w:r>
    </w:p>
    <w:p w14:paraId="19E104BE" w14:textId="77777777" w:rsidR="00B04B6E" w:rsidRPr="000A6875" w:rsidRDefault="00B04B6E" w:rsidP="00B04B6E">
      <w:pPr>
        <w:rPr>
          <w:rFonts w:cs="Arial"/>
          <w:szCs w:val="22"/>
        </w:rPr>
      </w:pPr>
    </w:p>
    <w:p w14:paraId="687FABA9" w14:textId="77777777" w:rsidR="00B04B6E" w:rsidRPr="000A6875" w:rsidRDefault="00B04B6E" w:rsidP="00B04B6E">
      <w:pPr>
        <w:rPr>
          <w:rFonts w:cs="Arial"/>
          <w:szCs w:val="22"/>
        </w:rPr>
      </w:pPr>
      <w:r w:rsidRPr="000A6875">
        <w:rPr>
          <w:rFonts w:cs="Arial"/>
          <w:szCs w:val="22"/>
        </w:rPr>
        <w:t xml:space="preserve">THIS IS TO DECLARE: </w:t>
      </w:r>
    </w:p>
    <w:p w14:paraId="04E96CE8" w14:textId="77777777" w:rsidR="00B04B6E" w:rsidRPr="000A6875" w:rsidRDefault="00B04B6E" w:rsidP="00B04B6E">
      <w:pPr>
        <w:rPr>
          <w:rFonts w:cs="Arial"/>
          <w:szCs w:val="22"/>
        </w:rPr>
      </w:pPr>
    </w:p>
    <w:p w14:paraId="0A03B316" w14:textId="77777777" w:rsidR="00B04B6E" w:rsidRPr="000A6875" w:rsidRDefault="00B04B6E" w:rsidP="00B04B6E">
      <w:pPr>
        <w:ind w:left="851" w:hanging="851"/>
        <w:rPr>
          <w:rFonts w:cs="Arial"/>
          <w:szCs w:val="22"/>
        </w:rPr>
      </w:pPr>
      <w:r w:rsidRPr="000A6875">
        <w:rPr>
          <w:rFonts w:cs="Arial"/>
          <w:szCs w:val="22"/>
        </w:rPr>
        <w:t>1.</w:t>
      </w:r>
      <w:r w:rsidRPr="000A6875">
        <w:rPr>
          <w:rFonts w:cs="Arial"/>
          <w:szCs w:val="22"/>
        </w:rPr>
        <w:tab/>
        <w:t xml:space="preserve">That the ship has submitted to this Administration an Annual Account Statement required by regulation 35.5 of Annex VI of the Convention, which is consistent with the ship’s fuel consumption data pursuant to regulation 27.3 of </w:t>
      </w:r>
      <w:r w:rsidRPr="000A6875">
        <w:rPr>
          <w:rFonts w:cs="Arial"/>
          <w:szCs w:val="22"/>
        </w:rPr>
        <w:br/>
        <w:t>Annex VI of the Convention, covering ship operations from (01/01/</w:t>
      </w:r>
      <w:proofErr w:type="spellStart"/>
      <w:r w:rsidRPr="000A6875">
        <w:rPr>
          <w:rFonts w:cs="Arial"/>
          <w:szCs w:val="22"/>
        </w:rPr>
        <w:t>yyyy</w:t>
      </w:r>
      <w:proofErr w:type="spellEnd"/>
      <w:r w:rsidRPr="000A6875">
        <w:rPr>
          <w:rFonts w:cs="Arial"/>
          <w:szCs w:val="22"/>
        </w:rPr>
        <w:t>) through (31/12/</w:t>
      </w:r>
      <w:proofErr w:type="spellStart"/>
      <w:r w:rsidRPr="000A6875">
        <w:rPr>
          <w:rFonts w:cs="Arial"/>
          <w:szCs w:val="22"/>
        </w:rPr>
        <w:t>yyyy</w:t>
      </w:r>
      <w:proofErr w:type="spellEnd"/>
      <w:r w:rsidRPr="000A6875">
        <w:rPr>
          <w:rFonts w:cs="Arial"/>
          <w:szCs w:val="22"/>
        </w:rPr>
        <w:t>).</w:t>
      </w:r>
    </w:p>
    <w:p w14:paraId="4AFA0C50" w14:textId="77777777" w:rsidR="00B04B6E" w:rsidRPr="000A6875" w:rsidRDefault="00B04B6E" w:rsidP="00B04B6E">
      <w:pPr>
        <w:rPr>
          <w:rFonts w:cs="Arial"/>
          <w:szCs w:val="22"/>
        </w:rPr>
      </w:pPr>
      <w:r w:rsidRPr="000A6875">
        <w:rPr>
          <w:rFonts w:cs="Arial"/>
          <w:szCs w:val="22"/>
        </w:rPr>
        <w:t xml:space="preserve"> </w:t>
      </w:r>
    </w:p>
    <w:p w14:paraId="75B7312D" w14:textId="77777777" w:rsidR="00B04B6E" w:rsidRPr="000A6875" w:rsidRDefault="00B04B6E" w:rsidP="00B04B6E">
      <w:pPr>
        <w:rPr>
          <w:rFonts w:cs="Arial"/>
          <w:szCs w:val="22"/>
        </w:rPr>
      </w:pPr>
      <w:r w:rsidRPr="000A6875">
        <w:rPr>
          <w:rFonts w:cs="Arial"/>
          <w:szCs w:val="22"/>
        </w:rPr>
        <w:t>This Statement of Compliance is valid until (dd/mm/</w:t>
      </w:r>
      <w:proofErr w:type="spellStart"/>
      <w:r w:rsidRPr="000A6875">
        <w:rPr>
          <w:rFonts w:cs="Arial"/>
          <w:szCs w:val="22"/>
        </w:rPr>
        <w:t>yyyy</w:t>
      </w:r>
      <w:proofErr w:type="spellEnd"/>
      <w:r w:rsidRPr="000A6875">
        <w:rPr>
          <w:rFonts w:cs="Arial"/>
          <w:szCs w:val="22"/>
        </w:rPr>
        <w:t xml:space="preserve">) . . . . . . . . . . . . . . . . . . . . . . . </w:t>
      </w:r>
    </w:p>
    <w:p w14:paraId="0FE67C91" w14:textId="77777777" w:rsidR="00B04B6E" w:rsidRPr="000A6875" w:rsidRDefault="00B04B6E" w:rsidP="00B04B6E">
      <w:pPr>
        <w:rPr>
          <w:rFonts w:cs="Arial"/>
          <w:szCs w:val="22"/>
        </w:rPr>
      </w:pPr>
    </w:p>
    <w:p w14:paraId="18458BD6" w14:textId="77777777" w:rsidR="00B04B6E" w:rsidRPr="000A6875" w:rsidRDefault="00B04B6E" w:rsidP="00B04B6E">
      <w:pPr>
        <w:rPr>
          <w:rFonts w:cs="Arial"/>
          <w:szCs w:val="22"/>
        </w:rPr>
      </w:pPr>
      <w:r w:rsidRPr="000A6875">
        <w:rPr>
          <w:rFonts w:cs="Arial"/>
          <w:szCs w:val="22"/>
        </w:rPr>
        <w:t xml:space="preserve">Issued at: . . . . . . . . . . . . . . . . . . . . . . . . . . . . . . . . . . . . . . . . . . . . . . . . . . . . . . . . . . . . </w:t>
      </w:r>
    </w:p>
    <w:p w14:paraId="3F125D52" w14:textId="77777777" w:rsidR="00B04B6E" w:rsidRPr="000A6875" w:rsidRDefault="00B04B6E" w:rsidP="00B04B6E">
      <w:pPr>
        <w:rPr>
          <w:rFonts w:cs="Arial"/>
          <w:szCs w:val="22"/>
        </w:rPr>
      </w:pPr>
      <w:r w:rsidRPr="000A6875">
        <w:rPr>
          <w:rFonts w:cs="Arial"/>
          <w:szCs w:val="22"/>
        </w:rPr>
        <w:t>(</w:t>
      </w:r>
      <w:r w:rsidRPr="000A6875">
        <w:rPr>
          <w:rFonts w:cs="Arial"/>
          <w:i/>
          <w:iCs/>
          <w:szCs w:val="22"/>
        </w:rPr>
        <w:t>place of issue of Statement</w:t>
      </w:r>
      <w:r w:rsidRPr="000A6875">
        <w:rPr>
          <w:rFonts w:cs="Arial"/>
          <w:szCs w:val="22"/>
        </w:rPr>
        <w:t>)</w:t>
      </w:r>
    </w:p>
    <w:p w14:paraId="3E92DEB1" w14:textId="77777777" w:rsidR="00B04B6E" w:rsidRPr="000A6875" w:rsidRDefault="00B04B6E" w:rsidP="00B04B6E">
      <w:pPr>
        <w:rPr>
          <w:rFonts w:cs="Arial"/>
          <w:szCs w:val="22"/>
        </w:rPr>
      </w:pPr>
    </w:p>
    <w:p w14:paraId="23760638" w14:textId="77777777" w:rsidR="00B04B6E" w:rsidRPr="000A6875" w:rsidRDefault="00B04B6E" w:rsidP="00B04B6E">
      <w:pPr>
        <w:rPr>
          <w:rFonts w:cs="Arial"/>
          <w:szCs w:val="22"/>
        </w:rPr>
      </w:pPr>
      <w:r w:rsidRPr="000A6875">
        <w:rPr>
          <w:rFonts w:cs="Arial"/>
          <w:szCs w:val="22"/>
        </w:rPr>
        <w:t>Date (dd/mm/</w:t>
      </w:r>
      <w:proofErr w:type="spellStart"/>
      <w:r w:rsidRPr="000A6875">
        <w:rPr>
          <w:rFonts w:cs="Arial"/>
          <w:szCs w:val="22"/>
        </w:rPr>
        <w:t>yyyy</w:t>
      </w:r>
      <w:proofErr w:type="spellEnd"/>
      <w:r w:rsidRPr="000A6875">
        <w:rPr>
          <w:rFonts w:cs="Arial"/>
          <w:szCs w:val="22"/>
        </w:rPr>
        <w:t xml:space="preserve">) . . . . . . . . . . . .  . . . . . . .                    . . . . . . . . . . . . . . . . . . . . . . . . </w:t>
      </w:r>
    </w:p>
    <w:p w14:paraId="01D944A0" w14:textId="77777777" w:rsidR="00B04B6E" w:rsidRPr="000A6875" w:rsidRDefault="00B04B6E" w:rsidP="00B04B6E">
      <w:pPr>
        <w:ind w:left="5812" w:hanging="3544"/>
        <w:rPr>
          <w:rFonts w:cs="Arial"/>
          <w:szCs w:val="22"/>
        </w:rPr>
      </w:pPr>
      <w:r w:rsidRPr="000A6875">
        <w:rPr>
          <w:rFonts w:cs="Arial"/>
          <w:szCs w:val="22"/>
        </w:rPr>
        <w:t>(</w:t>
      </w:r>
      <w:r w:rsidRPr="000A6875">
        <w:rPr>
          <w:rFonts w:cs="Arial"/>
          <w:i/>
          <w:iCs/>
          <w:szCs w:val="22"/>
        </w:rPr>
        <w:t>date of issue</w:t>
      </w:r>
      <w:r w:rsidRPr="000A6875">
        <w:rPr>
          <w:rFonts w:cs="Arial"/>
          <w:szCs w:val="22"/>
        </w:rPr>
        <w:t xml:space="preserve">) </w:t>
      </w:r>
      <w:r w:rsidRPr="000A6875">
        <w:rPr>
          <w:rFonts w:cs="Arial"/>
          <w:szCs w:val="22"/>
        </w:rPr>
        <w:tab/>
        <w:t>(</w:t>
      </w:r>
      <w:r w:rsidRPr="000A6875">
        <w:rPr>
          <w:rFonts w:cs="Arial"/>
          <w:i/>
          <w:iCs/>
          <w:szCs w:val="22"/>
        </w:rPr>
        <w:t>signature of duly authorized official issuing the Statement</w:t>
      </w:r>
      <w:r w:rsidRPr="000A6875">
        <w:rPr>
          <w:rFonts w:cs="Arial"/>
          <w:szCs w:val="22"/>
        </w:rPr>
        <w:t>)</w:t>
      </w:r>
    </w:p>
    <w:p w14:paraId="072A5D09" w14:textId="77777777" w:rsidR="00B04B6E" w:rsidRPr="000A6875" w:rsidRDefault="00B04B6E" w:rsidP="00B04B6E">
      <w:pPr>
        <w:rPr>
          <w:rFonts w:cs="Arial"/>
          <w:szCs w:val="22"/>
        </w:rPr>
      </w:pPr>
    </w:p>
    <w:p w14:paraId="7F3FCA81" w14:textId="77777777" w:rsidR="00B04B6E" w:rsidRPr="000A6875" w:rsidRDefault="00B04B6E" w:rsidP="00B04B6E">
      <w:pPr>
        <w:rPr>
          <w:rFonts w:cs="Arial"/>
          <w:szCs w:val="22"/>
        </w:rPr>
      </w:pPr>
      <w:r w:rsidRPr="000A6875">
        <w:rPr>
          <w:rFonts w:cs="Arial"/>
          <w:szCs w:val="22"/>
        </w:rPr>
        <w:tab/>
      </w:r>
      <w:r w:rsidRPr="000A6875">
        <w:rPr>
          <w:rFonts w:cs="Arial"/>
          <w:szCs w:val="22"/>
        </w:rPr>
        <w:tab/>
      </w:r>
      <w:r w:rsidRPr="000A6875">
        <w:rPr>
          <w:rFonts w:cs="Arial"/>
          <w:szCs w:val="22"/>
        </w:rPr>
        <w:tab/>
      </w:r>
      <w:r w:rsidRPr="000A6875">
        <w:rPr>
          <w:rFonts w:cs="Arial"/>
          <w:szCs w:val="22"/>
        </w:rPr>
        <w:tab/>
        <w:t>(</w:t>
      </w:r>
      <w:r w:rsidRPr="000A6875">
        <w:rPr>
          <w:rFonts w:cs="Arial"/>
          <w:i/>
          <w:iCs/>
          <w:szCs w:val="22"/>
        </w:rPr>
        <w:t>seal or stamp of the authority, as appropriate</w:t>
      </w:r>
      <w:r w:rsidRPr="000A6875">
        <w:rPr>
          <w:rFonts w:cs="Arial"/>
          <w:szCs w:val="22"/>
        </w:rPr>
        <w:t>)</w:t>
      </w:r>
    </w:p>
    <w:p w14:paraId="4D48BC73" w14:textId="77777777" w:rsidR="00B04B6E" w:rsidRPr="000A6875" w:rsidRDefault="00B04B6E" w:rsidP="00B04B6E">
      <w:pPr>
        <w:rPr>
          <w:rFonts w:cs="Arial"/>
          <w:szCs w:val="22"/>
        </w:rPr>
      </w:pPr>
    </w:p>
    <w:p w14:paraId="7A727399" w14:textId="77777777" w:rsidR="00B04B6E" w:rsidRPr="000A6875" w:rsidRDefault="00B04B6E" w:rsidP="00B04B6E">
      <w:pPr>
        <w:jc w:val="center"/>
        <w:rPr>
          <w:rFonts w:cs="Arial"/>
          <w:szCs w:val="22"/>
        </w:rPr>
        <w:sectPr w:rsidR="00B04B6E" w:rsidRPr="000A6875" w:rsidSect="00DF3E2F">
          <w:headerReference w:type="default" r:id="rId33"/>
          <w:footnotePr>
            <w:numRestart w:val="eachSect"/>
          </w:footnotePr>
          <w:pgSz w:w="11906" w:h="16838"/>
          <w:pgMar w:top="1440" w:right="1440" w:bottom="1440" w:left="1440" w:header="709" w:footer="709" w:gutter="0"/>
          <w:pgNumType w:start="1"/>
          <w:cols w:space="708"/>
          <w:docGrid w:linePitch="360"/>
        </w:sectPr>
      </w:pPr>
      <w:r w:rsidRPr="000A6875">
        <w:rPr>
          <w:rFonts w:cs="Arial"/>
          <w:szCs w:val="22"/>
        </w:rPr>
        <w:t>***</w:t>
      </w:r>
    </w:p>
    <w:p w14:paraId="13C99D09" w14:textId="77777777" w:rsidR="00B04B6E" w:rsidRPr="00191D29" w:rsidRDefault="00B04B6E" w:rsidP="00B04B6E">
      <w:pPr>
        <w:jc w:val="center"/>
        <w:rPr>
          <w:b/>
          <w:bCs/>
          <w:caps/>
          <w:szCs w:val="22"/>
        </w:rPr>
      </w:pPr>
      <w:r w:rsidRPr="00191D29">
        <w:rPr>
          <w:b/>
          <w:bCs/>
          <w:caps/>
          <w:szCs w:val="22"/>
        </w:rPr>
        <w:lastRenderedPageBreak/>
        <w:t xml:space="preserve">Annex 2 </w:t>
      </w:r>
    </w:p>
    <w:p w14:paraId="389A1DD7" w14:textId="77777777" w:rsidR="00B04B6E" w:rsidRPr="00191D29" w:rsidRDefault="00B04B6E" w:rsidP="00B04B6E">
      <w:pPr>
        <w:jc w:val="center"/>
        <w:rPr>
          <w:b/>
          <w:bCs/>
          <w:caps/>
          <w:szCs w:val="22"/>
        </w:rPr>
      </w:pPr>
    </w:p>
    <w:p w14:paraId="0B778418" w14:textId="77777777" w:rsidR="00B04B6E" w:rsidRPr="00191D29" w:rsidRDefault="00B04B6E" w:rsidP="00B04B6E">
      <w:pPr>
        <w:jc w:val="center"/>
        <w:rPr>
          <w:b/>
          <w:bCs/>
          <w:caps/>
          <w:szCs w:val="22"/>
        </w:rPr>
      </w:pPr>
      <w:r w:rsidRPr="00191D29">
        <w:rPr>
          <w:b/>
          <w:bCs/>
          <w:caps/>
          <w:szCs w:val="22"/>
        </w:rPr>
        <w:t>Resolution MEPC.XXX(XX)</w:t>
      </w:r>
    </w:p>
    <w:p w14:paraId="03134F09" w14:textId="77777777" w:rsidR="00B04B6E" w:rsidRPr="00191D29" w:rsidRDefault="00B04B6E" w:rsidP="00B04B6E">
      <w:pPr>
        <w:jc w:val="center"/>
        <w:rPr>
          <w:b/>
          <w:bCs/>
          <w:szCs w:val="22"/>
        </w:rPr>
      </w:pPr>
      <w:r w:rsidRPr="00191D29">
        <w:rPr>
          <w:b/>
          <w:bCs/>
          <w:caps/>
          <w:szCs w:val="22"/>
        </w:rPr>
        <w:t>(</w:t>
      </w:r>
      <w:r w:rsidRPr="00191D29">
        <w:rPr>
          <w:b/>
          <w:bCs/>
          <w:szCs w:val="22"/>
        </w:rPr>
        <w:t xml:space="preserve">Adopted on [same date as adoption of draft amendments for Establishment of Fund and Reward (Feebate) Mechanism, </w:t>
      </w:r>
      <w:r w:rsidRPr="000A6875">
        <w:rPr>
          <w:b/>
          <w:szCs w:val="22"/>
        </w:rPr>
        <w:t>Zero Emission Shipping Fund, and IMO (GHG) Maritime Sustainability Fu</w:t>
      </w:r>
      <w:r w:rsidRPr="00191D29">
        <w:rPr>
          <w:b/>
          <w:bCs/>
          <w:szCs w:val="22"/>
        </w:rPr>
        <w:t>nd])</w:t>
      </w:r>
    </w:p>
    <w:p w14:paraId="16CBB63B" w14:textId="77777777" w:rsidR="00B04B6E" w:rsidRPr="00191D29" w:rsidRDefault="00B04B6E" w:rsidP="00B04B6E">
      <w:pPr>
        <w:jc w:val="center"/>
        <w:rPr>
          <w:b/>
          <w:bCs/>
          <w:szCs w:val="22"/>
        </w:rPr>
      </w:pPr>
    </w:p>
    <w:p w14:paraId="201AC47D" w14:textId="77777777" w:rsidR="00B04B6E" w:rsidRPr="00191D29" w:rsidRDefault="00B04B6E" w:rsidP="00B04B6E">
      <w:pPr>
        <w:jc w:val="center"/>
        <w:rPr>
          <w:szCs w:val="22"/>
        </w:rPr>
      </w:pPr>
      <w:r w:rsidRPr="00191D29">
        <w:rPr>
          <w:szCs w:val="22"/>
        </w:rPr>
        <w:t>[To be completed….]</w:t>
      </w:r>
    </w:p>
    <w:p w14:paraId="3DF0ABBA" w14:textId="77777777" w:rsidR="00B04B6E" w:rsidRPr="00191D29" w:rsidRDefault="00B04B6E" w:rsidP="00B04B6E">
      <w:pPr>
        <w:jc w:val="center"/>
        <w:rPr>
          <w:caps/>
          <w:szCs w:val="22"/>
        </w:rPr>
      </w:pPr>
    </w:p>
    <w:p w14:paraId="54F8E0E0" w14:textId="77777777" w:rsidR="00B04B6E" w:rsidRPr="00191D29" w:rsidRDefault="00B04B6E" w:rsidP="00B04B6E">
      <w:pPr>
        <w:jc w:val="center"/>
        <w:rPr>
          <w:b/>
          <w:szCs w:val="22"/>
        </w:rPr>
      </w:pPr>
      <w:r w:rsidRPr="00191D29">
        <w:rPr>
          <w:b/>
          <w:szCs w:val="22"/>
        </w:rPr>
        <w:t xml:space="preserve">ANNEX </w:t>
      </w:r>
    </w:p>
    <w:p w14:paraId="6AD7D733" w14:textId="77777777" w:rsidR="00B04B6E" w:rsidRPr="00191D29" w:rsidRDefault="00B04B6E" w:rsidP="00B04B6E">
      <w:pPr>
        <w:jc w:val="center"/>
        <w:rPr>
          <w:b/>
          <w:szCs w:val="22"/>
        </w:rPr>
      </w:pPr>
      <w:r w:rsidRPr="00191D29">
        <w:rPr>
          <w:b/>
          <w:szCs w:val="22"/>
        </w:rPr>
        <w:t xml:space="preserve"> </w:t>
      </w:r>
    </w:p>
    <w:p w14:paraId="7567B9F5" w14:textId="77777777" w:rsidR="00B04B6E" w:rsidRPr="00191D29" w:rsidRDefault="00B04B6E" w:rsidP="00B04B6E">
      <w:pPr>
        <w:jc w:val="center"/>
        <w:rPr>
          <w:b/>
          <w:szCs w:val="22"/>
        </w:rPr>
      </w:pPr>
      <w:r w:rsidRPr="00191D29">
        <w:rPr>
          <w:b/>
          <w:szCs w:val="22"/>
        </w:rPr>
        <w:t xml:space="preserve">[20XX] Guidelines for the establishment and governance of the </w:t>
      </w:r>
      <w:r w:rsidRPr="00191D29">
        <w:rPr>
          <w:b/>
          <w:szCs w:val="22"/>
        </w:rPr>
        <w:br/>
        <w:t xml:space="preserve">Zero Emission Shipping Fund, oversight of the </w:t>
      </w:r>
      <w:r w:rsidRPr="000A6875">
        <w:rPr>
          <w:b/>
          <w:szCs w:val="22"/>
        </w:rPr>
        <w:t>IMO (GHG) Maritime Sustainability Fu</w:t>
      </w:r>
      <w:r w:rsidRPr="00191D29">
        <w:rPr>
          <w:b/>
          <w:bCs/>
          <w:szCs w:val="22"/>
        </w:rPr>
        <w:t>nd,</w:t>
      </w:r>
      <w:r w:rsidRPr="00191D29">
        <w:rPr>
          <w:b/>
          <w:szCs w:val="22"/>
        </w:rPr>
        <w:t xml:space="preserve"> and collection of contributions and disbursement of rewards (feebates) under Chapter 6 of MARPOL Annex VI</w:t>
      </w:r>
    </w:p>
    <w:p w14:paraId="2755E4B7" w14:textId="77777777" w:rsidR="00B04B6E" w:rsidRPr="00191D29" w:rsidRDefault="00B04B6E" w:rsidP="00B04B6E">
      <w:pPr>
        <w:rPr>
          <w:b/>
          <w:szCs w:val="22"/>
        </w:rPr>
      </w:pPr>
    </w:p>
    <w:p w14:paraId="25340BEF" w14:textId="77777777" w:rsidR="00B04B6E" w:rsidRPr="00191D29" w:rsidRDefault="00B04B6E" w:rsidP="00B04B6E">
      <w:pPr>
        <w:rPr>
          <w:b/>
          <w:szCs w:val="22"/>
        </w:rPr>
      </w:pPr>
      <w:r w:rsidRPr="00191D29">
        <w:rPr>
          <w:b/>
          <w:szCs w:val="22"/>
        </w:rPr>
        <w:t>Introduction</w:t>
      </w:r>
    </w:p>
    <w:p w14:paraId="58BAA64A" w14:textId="77777777" w:rsidR="00B04B6E" w:rsidRPr="00191D29" w:rsidRDefault="00B04B6E" w:rsidP="00B04B6E">
      <w:pPr>
        <w:rPr>
          <w:szCs w:val="22"/>
        </w:rPr>
      </w:pPr>
    </w:p>
    <w:p w14:paraId="0B8A5641" w14:textId="77777777" w:rsidR="00B04B6E" w:rsidRPr="00191D29" w:rsidRDefault="00B04B6E" w:rsidP="00B04B6E">
      <w:pPr>
        <w:rPr>
          <w:szCs w:val="22"/>
        </w:rPr>
      </w:pPr>
      <w:r w:rsidRPr="00191D29">
        <w:rPr>
          <w:szCs w:val="22"/>
        </w:rPr>
        <w:t>1</w:t>
      </w:r>
      <w:r w:rsidRPr="00191D29">
        <w:rPr>
          <w:szCs w:val="22"/>
        </w:rPr>
        <w:tab/>
        <w:t xml:space="preserve">The purpose of these guidelines is to direct the Organization’s governance and the operation of the </w:t>
      </w:r>
      <w:r w:rsidRPr="000A6875">
        <w:rPr>
          <w:szCs w:val="22"/>
        </w:rPr>
        <w:t>Zero Emission Shipping Fund</w:t>
      </w:r>
      <w:r w:rsidRPr="00191D29">
        <w:rPr>
          <w:b/>
          <w:szCs w:val="22"/>
        </w:rPr>
        <w:t xml:space="preserve"> </w:t>
      </w:r>
      <w:r w:rsidRPr="00191D29">
        <w:rPr>
          <w:szCs w:val="22"/>
        </w:rPr>
        <w:t xml:space="preserve">(ZESF) to be established under Chapter 6 of MARPOL Annex VI. </w:t>
      </w:r>
    </w:p>
    <w:p w14:paraId="551BA845" w14:textId="77777777" w:rsidR="00B04B6E" w:rsidRPr="00191D29" w:rsidRDefault="00B04B6E" w:rsidP="00B04B6E">
      <w:pPr>
        <w:rPr>
          <w:szCs w:val="22"/>
        </w:rPr>
      </w:pPr>
    </w:p>
    <w:p w14:paraId="211342CC" w14:textId="77777777" w:rsidR="00B04B6E" w:rsidRPr="000A6875" w:rsidRDefault="00B04B6E" w:rsidP="00B04B6E">
      <w:pPr>
        <w:rPr>
          <w:b/>
          <w:szCs w:val="22"/>
        </w:rPr>
      </w:pPr>
      <w:r w:rsidRPr="000A6875">
        <w:rPr>
          <w:b/>
          <w:szCs w:val="22"/>
        </w:rPr>
        <w:t xml:space="preserve">Zero Emission Shipping Fund </w:t>
      </w:r>
    </w:p>
    <w:p w14:paraId="7AF65CE1" w14:textId="77777777" w:rsidR="00B04B6E" w:rsidRPr="000A6875" w:rsidRDefault="00B04B6E" w:rsidP="00B04B6E">
      <w:pPr>
        <w:rPr>
          <w:szCs w:val="22"/>
        </w:rPr>
      </w:pPr>
    </w:p>
    <w:p w14:paraId="58561C99" w14:textId="77777777" w:rsidR="00B04B6E" w:rsidRPr="000A6875" w:rsidRDefault="00B04B6E" w:rsidP="00B04B6E">
      <w:pPr>
        <w:rPr>
          <w:i/>
          <w:iCs/>
          <w:szCs w:val="22"/>
        </w:rPr>
      </w:pPr>
      <w:r w:rsidRPr="000A6875">
        <w:rPr>
          <w:i/>
          <w:iCs/>
          <w:szCs w:val="22"/>
        </w:rPr>
        <w:t>Purpose of the ZESF</w:t>
      </w:r>
    </w:p>
    <w:p w14:paraId="7A93F2F8" w14:textId="77777777" w:rsidR="00B04B6E" w:rsidRPr="000A6875" w:rsidRDefault="00B04B6E" w:rsidP="00B04B6E">
      <w:pPr>
        <w:rPr>
          <w:szCs w:val="22"/>
        </w:rPr>
      </w:pPr>
    </w:p>
    <w:p w14:paraId="18DD08AF" w14:textId="0D375606" w:rsidR="00B04B6E" w:rsidRPr="00191D29" w:rsidRDefault="00B04B6E" w:rsidP="00B04B6E">
      <w:pPr>
        <w:rPr>
          <w:szCs w:val="22"/>
        </w:rPr>
      </w:pPr>
      <w:r w:rsidRPr="000A6875">
        <w:rPr>
          <w:szCs w:val="22"/>
        </w:rPr>
        <w:t>2</w:t>
      </w:r>
      <w:r w:rsidRPr="000A6875">
        <w:rPr>
          <w:szCs w:val="22"/>
        </w:rPr>
        <w:tab/>
        <w:t xml:space="preserve">The principal purpose of the ZESF is </w:t>
      </w:r>
      <w:r w:rsidR="00E055D3" w:rsidRPr="000A6875">
        <w:rPr>
          <w:szCs w:val="22"/>
        </w:rPr>
        <w:t xml:space="preserve">to </w:t>
      </w:r>
      <w:r w:rsidRPr="000A6875">
        <w:rPr>
          <w:szCs w:val="22"/>
        </w:rPr>
        <w:t xml:space="preserve">administer the collection of contributions by ships to </w:t>
      </w:r>
      <w:r w:rsidRPr="00191D29">
        <w:rPr>
          <w:szCs w:val="22"/>
        </w:rPr>
        <w:t xml:space="preserve">provide financial support to the fund and reward (feebate) mechanism and to the IMO (GHG) Maritime Sustainability Fund (IMSF).    </w:t>
      </w:r>
    </w:p>
    <w:p w14:paraId="72A2ED53" w14:textId="77777777" w:rsidR="00B04B6E" w:rsidRPr="00191D29" w:rsidRDefault="00B04B6E" w:rsidP="00B04B6E">
      <w:pPr>
        <w:rPr>
          <w:szCs w:val="22"/>
        </w:rPr>
      </w:pPr>
    </w:p>
    <w:p w14:paraId="6F777B7E" w14:textId="77777777" w:rsidR="00B04B6E" w:rsidRPr="000A6875" w:rsidRDefault="00B04B6E" w:rsidP="00B04B6E">
      <w:pPr>
        <w:rPr>
          <w:szCs w:val="22"/>
        </w:rPr>
      </w:pPr>
      <w:r w:rsidRPr="00191D29">
        <w:rPr>
          <w:szCs w:val="22"/>
        </w:rPr>
        <w:t>3</w:t>
      </w:r>
      <w:r w:rsidRPr="00191D29">
        <w:rPr>
          <w:szCs w:val="22"/>
        </w:rPr>
        <w:tab/>
      </w:r>
      <w:r w:rsidRPr="000A6875">
        <w:rPr>
          <w:szCs w:val="22"/>
        </w:rPr>
        <w:t>The 2023 IMO GHG Strategy (MEPC.377(80)) identifies that the Organization recognizes that developing countries, in particular LDCs and SIDS, have special needs with regard to capacity-building and technical cooperation.</w:t>
      </w:r>
    </w:p>
    <w:p w14:paraId="55C971CE" w14:textId="77777777" w:rsidR="00B04B6E" w:rsidRPr="000A6875" w:rsidRDefault="00B04B6E" w:rsidP="00B04B6E">
      <w:pPr>
        <w:rPr>
          <w:szCs w:val="22"/>
        </w:rPr>
      </w:pPr>
      <w:r w:rsidRPr="000A6875">
        <w:rPr>
          <w:szCs w:val="22"/>
        </w:rPr>
        <w:t xml:space="preserve"> </w:t>
      </w:r>
    </w:p>
    <w:p w14:paraId="2C1FCE5E" w14:textId="6770E4DC" w:rsidR="00B04B6E" w:rsidRPr="000A6875" w:rsidRDefault="00B04B6E" w:rsidP="00B04B6E">
      <w:pPr>
        <w:rPr>
          <w:szCs w:val="22"/>
          <w:highlight w:val="yellow"/>
        </w:rPr>
      </w:pPr>
      <w:r w:rsidRPr="000A6875">
        <w:rPr>
          <w:szCs w:val="22"/>
        </w:rPr>
        <w:t>4</w:t>
      </w:r>
      <w:r w:rsidRPr="000A6875">
        <w:rPr>
          <w:szCs w:val="22"/>
        </w:rPr>
        <w:tab/>
        <w:t>In addition to funding rewards (feebates) to ships for CO</w:t>
      </w:r>
      <w:r w:rsidRPr="000A6875">
        <w:rPr>
          <w:szCs w:val="22"/>
          <w:vertAlign w:val="subscript"/>
        </w:rPr>
        <w:t>2</w:t>
      </w:r>
      <w:r w:rsidRPr="000A6875">
        <w:rPr>
          <w:szCs w:val="22"/>
        </w:rPr>
        <w:t>e emissions prevented by the use of eligible zero or near-zero GHG fuels, the ZESF is to provide funding for the IMO (GHG) Maritime Sustainability Fund</w:t>
      </w:r>
      <w:r w:rsidRPr="00191D29">
        <w:rPr>
          <w:b/>
          <w:szCs w:val="22"/>
        </w:rPr>
        <w:t xml:space="preserve"> </w:t>
      </w:r>
      <w:r w:rsidRPr="00191D29">
        <w:rPr>
          <w:szCs w:val="22"/>
        </w:rPr>
        <w:t xml:space="preserve">(IMSF) </w:t>
      </w:r>
      <w:r w:rsidRPr="000A6875">
        <w:rPr>
          <w:szCs w:val="22"/>
        </w:rPr>
        <w:t xml:space="preserve">to support maritime GHG reduction efforts of developing countries, in particular LDCs and SIDS, </w:t>
      </w:r>
      <w:r w:rsidRPr="000A6875">
        <w:rPr>
          <w:rFonts w:cs="Arial"/>
          <w:szCs w:val="22"/>
        </w:rPr>
        <w:t xml:space="preserve">including </w:t>
      </w:r>
      <w:r w:rsidRPr="00191D29">
        <w:t xml:space="preserve">deployment of alternative maritime fuel production facilities and </w:t>
      </w:r>
      <w:r w:rsidRPr="000A6875">
        <w:rPr>
          <w:rFonts w:cs="Arial"/>
          <w:szCs w:val="22"/>
        </w:rPr>
        <w:t>bunkering infrastructure in ports for the supply of zero and near-zero GHG fuels for use by international shipping</w:t>
      </w:r>
      <w:r w:rsidR="00D66CDF" w:rsidRPr="000A6875">
        <w:rPr>
          <w:szCs w:val="22"/>
        </w:rPr>
        <w:t>.</w:t>
      </w:r>
    </w:p>
    <w:p w14:paraId="5B3CC084" w14:textId="77777777" w:rsidR="00B04B6E" w:rsidRPr="000A6875" w:rsidRDefault="00B04B6E" w:rsidP="00B04B6E">
      <w:pPr>
        <w:rPr>
          <w:szCs w:val="22"/>
        </w:rPr>
      </w:pPr>
    </w:p>
    <w:p w14:paraId="44B27606" w14:textId="77777777" w:rsidR="00B04B6E" w:rsidRPr="00191D29" w:rsidRDefault="00B04B6E" w:rsidP="00B04B6E">
      <w:pPr>
        <w:rPr>
          <w:i/>
          <w:szCs w:val="22"/>
        </w:rPr>
      </w:pPr>
      <w:r w:rsidRPr="00191D29">
        <w:rPr>
          <w:i/>
          <w:szCs w:val="22"/>
        </w:rPr>
        <w:t>Management of ZESF</w:t>
      </w:r>
    </w:p>
    <w:p w14:paraId="0D669781" w14:textId="77777777" w:rsidR="00B04B6E" w:rsidRPr="00191D29" w:rsidRDefault="00B04B6E" w:rsidP="00B04B6E">
      <w:pPr>
        <w:rPr>
          <w:szCs w:val="22"/>
        </w:rPr>
      </w:pPr>
    </w:p>
    <w:p w14:paraId="33CEE2BE" w14:textId="7108C707" w:rsidR="00B04B6E" w:rsidRPr="00191D29" w:rsidRDefault="00B04B6E" w:rsidP="00B04B6E">
      <w:pPr>
        <w:rPr>
          <w:szCs w:val="22"/>
        </w:rPr>
      </w:pPr>
      <w:r w:rsidRPr="000A6875">
        <w:rPr>
          <w:szCs w:val="22"/>
        </w:rPr>
        <w:t>5</w:t>
      </w:r>
      <w:r w:rsidRPr="000A6875">
        <w:rPr>
          <w:szCs w:val="22"/>
        </w:rPr>
        <w:tab/>
        <w:t xml:space="preserve">The Zero Emission Shipping Fund (ZESF) should be established, managed and operated without cost to the Organization, and once the ZESF is operational, costs can be recovered from the </w:t>
      </w:r>
      <w:r w:rsidR="007015D0" w:rsidRPr="000A6875">
        <w:rPr>
          <w:szCs w:val="22"/>
        </w:rPr>
        <w:t>ZESF</w:t>
      </w:r>
      <w:r w:rsidRPr="000A6875">
        <w:rPr>
          <w:szCs w:val="22"/>
        </w:rPr>
        <w:t>.</w:t>
      </w:r>
    </w:p>
    <w:p w14:paraId="22DD5350" w14:textId="77777777" w:rsidR="00B04B6E" w:rsidRPr="00191D29" w:rsidRDefault="00B04B6E" w:rsidP="00B04B6E">
      <w:pPr>
        <w:rPr>
          <w:i/>
          <w:szCs w:val="22"/>
        </w:rPr>
      </w:pPr>
    </w:p>
    <w:p w14:paraId="1FD1F80F" w14:textId="77777777" w:rsidR="00B04B6E" w:rsidRPr="000A6875" w:rsidRDefault="00B04B6E" w:rsidP="00B04B6E">
      <w:pPr>
        <w:rPr>
          <w:i/>
          <w:szCs w:val="22"/>
        </w:rPr>
      </w:pPr>
      <w:r w:rsidRPr="000A6875">
        <w:rPr>
          <w:i/>
          <w:szCs w:val="22"/>
        </w:rPr>
        <w:t>Oversight of the ZESF by the Marine Environment Protection Committee</w:t>
      </w:r>
    </w:p>
    <w:p w14:paraId="552622AD" w14:textId="77777777" w:rsidR="00B04B6E" w:rsidRPr="000A6875" w:rsidRDefault="00B04B6E" w:rsidP="00B04B6E">
      <w:pPr>
        <w:rPr>
          <w:i/>
          <w:szCs w:val="22"/>
        </w:rPr>
      </w:pPr>
    </w:p>
    <w:p w14:paraId="330D2EC6" w14:textId="77777777" w:rsidR="00B04B6E" w:rsidRPr="000A6875" w:rsidRDefault="00B04B6E" w:rsidP="00B04B6E">
      <w:pPr>
        <w:rPr>
          <w:szCs w:val="22"/>
        </w:rPr>
      </w:pPr>
      <w:r w:rsidRPr="000A6875">
        <w:rPr>
          <w:szCs w:val="22"/>
        </w:rPr>
        <w:t>6</w:t>
      </w:r>
      <w:r w:rsidRPr="000A6875">
        <w:rPr>
          <w:szCs w:val="22"/>
        </w:rPr>
        <w:tab/>
        <w:t>The Committee should establish arrangements, inter alia, for the approval of the annual budget and expenditure of the ZESF, and oversight of the ZESF’s management functions.</w:t>
      </w:r>
    </w:p>
    <w:p w14:paraId="1BC8394C" w14:textId="77777777" w:rsidR="00B04B6E" w:rsidRPr="000A6875" w:rsidRDefault="00B04B6E" w:rsidP="00B04B6E">
      <w:pPr>
        <w:rPr>
          <w:szCs w:val="22"/>
        </w:rPr>
      </w:pPr>
    </w:p>
    <w:p w14:paraId="6B4AEA81" w14:textId="77777777" w:rsidR="00B04B6E" w:rsidRPr="000A6875" w:rsidRDefault="00B04B6E" w:rsidP="00B04B6E">
      <w:pPr>
        <w:rPr>
          <w:szCs w:val="22"/>
        </w:rPr>
      </w:pPr>
      <w:r w:rsidRPr="00191D29">
        <w:rPr>
          <w:szCs w:val="22"/>
        </w:rPr>
        <w:t>7</w:t>
      </w:r>
      <w:r w:rsidRPr="00191D29">
        <w:rPr>
          <w:szCs w:val="22"/>
        </w:rPr>
        <w:tab/>
      </w:r>
      <w:r w:rsidRPr="000A6875">
        <w:rPr>
          <w:szCs w:val="22"/>
        </w:rPr>
        <w:t>The specific responsibilities of the Committee should include, but not be limited, to:</w:t>
      </w:r>
    </w:p>
    <w:p w14:paraId="34134529" w14:textId="77777777" w:rsidR="00B04B6E" w:rsidRPr="000A6875" w:rsidRDefault="00B04B6E" w:rsidP="00B04B6E">
      <w:pPr>
        <w:rPr>
          <w:szCs w:val="22"/>
        </w:rPr>
      </w:pPr>
    </w:p>
    <w:p w14:paraId="6250F7C1" w14:textId="77777777" w:rsidR="00B04B6E" w:rsidRPr="000A6875" w:rsidRDefault="00B04B6E" w:rsidP="00B04B6E">
      <w:pPr>
        <w:ind w:left="1560" w:hanging="720"/>
        <w:rPr>
          <w:szCs w:val="22"/>
        </w:rPr>
      </w:pPr>
      <w:r w:rsidRPr="000A6875">
        <w:rPr>
          <w:szCs w:val="22"/>
        </w:rPr>
        <w:t>.1</w:t>
      </w:r>
      <w:r w:rsidRPr="000A6875">
        <w:rPr>
          <w:szCs w:val="22"/>
        </w:rPr>
        <w:tab/>
        <w:t>providing general oversight on the strategic direction and annual budget of the ZESF;</w:t>
      </w:r>
    </w:p>
    <w:p w14:paraId="573D9A5A" w14:textId="77777777" w:rsidR="00B04B6E" w:rsidRPr="000A6875" w:rsidRDefault="00B04B6E" w:rsidP="00B04B6E">
      <w:pPr>
        <w:ind w:left="1560" w:hanging="720"/>
        <w:rPr>
          <w:szCs w:val="22"/>
        </w:rPr>
      </w:pPr>
    </w:p>
    <w:p w14:paraId="71575678" w14:textId="77777777" w:rsidR="00B04B6E" w:rsidRPr="000A6875" w:rsidRDefault="00B04B6E" w:rsidP="00B04B6E">
      <w:pPr>
        <w:ind w:left="1560" w:hanging="720"/>
        <w:rPr>
          <w:szCs w:val="22"/>
        </w:rPr>
      </w:pPr>
      <w:r w:rsidRPr="000A6875">
        <w:rPr>
          <w:szCs w:val="22"/>
        </w:rPr>
        <w:t>.2</w:t>
      </w:r>
      <w:r w:rsidRPr="000A6875">
        <w:rPr>
          <w:szCs w:val="22"/>
        </w:rPr>
        <w:tab/>
        <w:t>ensuring that the ZESF performs its duties and responsibilities consistent with the requirements of Chapter 6 of MARPOL Annex VI;</w:t>
      </w:r>
    </w:p>
    <w:p w14:paraId="3E9D2963" w14:textId="77777777" w:rsidR="00B04B6E" w:rsidRPr="000A6875" w:rsidRDefault="00B04B6E" w:rsidP="00B04B6E">
      <w:pPr>
        <w:ind w:left="1560" w:hanging="720"/>
        <w:rPr>
          <w:szCs w:val="22"/>
        </w:rPr>
        <w:sectPr w:rsidR="00B04B6E" w:rsidRPr="000A6875" w:rsidSect="00DF3E2F">
          <w:headerReference w:type="even" r:id="rId34"/>
          <w:headerReference w:type="default" r:id="rId35"/>
          <w:footnotePr>
            <w:numRestart w:val="eachSect"/>
          </w:footnotePr>
          <w:type w:val="continuous"/>
          <w:pgSz w:w="11900" w:h="16820"/>
          <w:pgMar w:top="1440" w:right="1410" w:bottom="1440" w:left="1418" w:header="708" w:footer="708" w:gutter="0"/>
          <w:cols w:space="708"/>
          <w:docGrid w:linePitch="360"/>
        </w:sectPr>
      </w:pPr>
    </w:p>
    <w:p w14:paraId="2E49951B" w14:textId="77777777" w:rsidR="00B04B6E" w:rsidRPr="000A6875" w:rsidRDefault="00B04B6E" w:rsidP="00B04B6E">
      <w:pPr>
        <w:ind w:left="1560" w:hanging="720"/>
        <w:rPr>
          <w:szCs w:val="22"/>
        </w:rPr>
      </w:pPr>
    </w:p>
    <w:p w14:paraId="57E9F3FD" w14:textId="58859653" w:rsidR="00B04B6E" w:rsidRPr="000A6875" w:rsidRDefault="00B04B6E" w:rsidP="00B04B6E">
      <w:pPr>
        <w:ind w:left="1560" w:hanging="720"/>
        <w:rPr>
          <w:szCs w:val="22"/>
        </w:rPr>
      </w:pPr>
      <w:r w:rsidRPr="000A6875">
        <w:rPr>
          <w:szCs w:val="22"/>
        </w:rPr>
        <w:t>.3</w:t>
      </w:r>
      <w:r w:rsidRPr="000A6875">
        <w:rPr>
          <w:szCs w:val="22"/>
        </w:rPr>
        <w:tab/>
        <w:t xml:space="preserve">ensuring that sufficient funds are available in any calendar year to fund the rewards for which ships using zero and near-zero </w:t>
      </w:r>
      <w:r w:rsidR="003D4B0C" w:rsidRPr="000A6875">
        <w:rPr>
          <w:szCs w:val="22"/>
        </w:rPr>
        <w:t xml:space="preserve">GHG </w:t>
      </w:r>
      <w:r w:rsidRPr="000A6875">
        <w:rPr>
          <w:szCs w:val="22"/>
        </w:rPr>
        <w:t>fuels are eligible, adjusting the funds designated annually for use by the IMO GHG Maritime Sustainability Fund</w:t>
      </w:r>
      <w:r w:rsidRPr="00191D29">
        <w:rPr>
          <w:b/>
          <w:szCs w:val="22"/>
        </w:rPr>
        <w:t xml:space="preserve"> </w:t>
      </w:r>
      <w:r w:rsidRPr="00191D29">
        <w:rPr>
          <w:szCs w:val="22"/>
        </w:rPr>
        <w:t xml:space="preserve">(IMSF) </w:t>
      </w:r>
      <w:r w:rsidRPr="000A6875">
        <w:rPr>
          <w:szCs w:val="22"/>
        </w:rPr>
        <w:t xml:space="preserve">as may be required in subsequent calendar years; </w:t>
      </w:r>
    </w:p>
    <w:p w14:paraId="4542202E" w14:textId="77777777" w:rsidR="00B04B6E" w:rsidRPr="000A6875" w:rsidRDefault="00B04B6E" w:rsidP="00B04B6E">
      <w:pPr>
        <w:ind w:left="1560" w:hanging="720"/>
        <w:rPr>
          <w:szCs w:val="22"/>
        </w:rPr>
      </w:pPr>
    </w:p>
    <w:p w14:paraId="14D95470" w14:textId="77777777" w:rsidR="00B04B6E" w:rsidRPr="000A6875" w:rsidRDefault="00B04B6E" w:rsidP="00B04B6E">
      <w:pPr>
        <w:ind w:left="1560" w:hanging="720"/>
        <w:rPr>
          <w:szCs w:val="22"/>
        </w:rPr>
      </w:pPr>
      <w:r w:rsidRPr="000A6875">
        <w:rPr>
          <w:szCs w:val="22"/>
        </w:rPr>
        <w:t>.4</w:t>
      </w:r>
      <w:r w:rsidRPr="000A6875">
        <w:rPr>
          <w:szCs w:val="22"/>
        </w:rPr>
        <w:tab/>
        <w:t>approving the overall annual operating budget for the ZESF;</w:t>
      </w:r>
    </w:p>
    <w:p w14:paraId="70890A5A" w14:textId="77777777" w:rsidR="00B04B6E" w:rsidRPr="000A6875" w:rsidRDefault="00B04B6E" w:rsidP="00B04B6E">
      <w:pPr>
        <w:ind w:left="1560" w:hanging="720"/>
        <w:rPr>
          <w:szCs w:val="22"/>
        </w:rPr>
      </w:pPr>
    </w:p>
    <w:p w14:paraId="545F0B57" w14:textId="77777777" w:rsidR="00B04B6E" w:rsidRPr="000A6875" w:rsidRDefault="00B04B6E" w:rsidP="00B04B6E">
      <w:pPr>
        <w:ind w:left="1560" w:hanging="720"/>
        <w:rPr>
          <w:szCs w:val="22"/>
        </w:rPr>
      </w:pPr>
      <w:r w:rsidRPr="000A6875">
        <w:rPr>
          <w:szCs w:val="22"/>
        </w:rPr>
        <w:t>.5</w:t>
      </w:r>
      <w:r w:rsidRPr="000A6875">
        <w:rPr>
          <w:szCs w:val="22"/>
        </w:rPr>
        <w:tab/>
        <w:t>undertaking independent financial audits of the ZESF concerning the management and administration of its funds and related investments to ensure that the ZESF fully meets its fiduciary responsibilities, including the accounting of funds expended; and</w:t>
      </w:r>
    </w:p>
    <w:p w14:paraId="5D42F121" w14:textId="77777777" w:rsidR="00B04B6E" w:rsidRPr="000A6875" w:rsidRDefault="00B04B6E" w:rsidP="00B04B6E">
      <w:pPr>
        <w:ind w:left="1560" w:hanging="720"/>
        <w:rPr>
          <w:szCs w:val="22"/>
        </w:rPr>
      </w:pPr>
    </w:p>
    <w:p w14:paraId="6C2967BC" w14:textId="77777777" w:rsidR="00B04B6E" w:rsidRPr="000A6875" w:rsidRDefault="00B04B6E" w:rsidP="00B04B6E">
      <w:pPr>
        <w:ind w:left="1560" w:hanging="720"/>
        <w:rPr>
          <w:szCs w:val="22"/>
        </w:rPr>
      </w:pPr>
      <w:r w:rsidRPr="000A6875">
        <w:rPr>
          <w:szCs w:val="22"/>
        </w:rPr>
        <w:t>.6</w:t>
      </w:r>
      <w:r w:rsidRPr="000A6875">
        <w:rPr>
          <w:szCs w:val="22"/>
        </w:rPr>
        <w:tab/>
        <w:t>advising upon any recommendations made by the supervisory committee of the IMSF to modify and adjust the IMSF strategy and budget, as appropriate.</w:t>
      </w:r>
    </w:p>
    <w:p w14:paraId="0B7D94F5" w14:textId="77777777" w:rsidR="00B04B6E" w:rsidRPr="000A6875" w:rsidRDefault="00B04B6E" w:rsidP="00B04B6E">
      <w:pPr>
        <w:rPr>
          <w:i/>
          <w:szCs w:val="22"/>
        </w:rPr>
      </w:pPr>
    </w:p>
    <w:p w14:paraId="6BC81FA4" w14:textId="77777777" w:rsidR="00B04B6E" w:rsidRPr="000A6875" w:rsidRDefault="00B04B6E" w:rsidP="00B04B6E">
      <w:pPr>
        <w:rPr>
          <w:i/>
          <w:szCs w:val="22"/>
        </w:rPr>
      </w:pPr>
      <w:r w:rsidRPr="000A6875">
        <w:rPr>
          <w:i/>
          <w:szCs w:val="22"/>
        </w:rPr>
        <w:t xml:space="preserve">Collection of contributions from ships to ZESF  </w:t>
      </w:r>
    </w:p>
    <w:p w14:paraId="7772CFF5" w14:textId="77777777" w:rsidR="00B04B6E" w:rsidRPr="000A6875" w:rsidRDefault="00B04B6E" w:rsidP="00B04B6E">
      <w:pPr>
        <w:tabs>
          <w:tab w:val="clear" w:pos="851"/>
        </w:tabs>
        <w:rPr>
          <w:i/>
          <w:szCs w:val="22"/>
        </w:rPr>
      </w:pPr>
    </w:p>
    <w:p w14:paraId="0AA0F41A" w14:textId="052CE9EB" w:rsidR="00B04B6E" w:rsidRPr="00191D29" w:rsidRDefault="00B04B6E" w:rsidP="00B04B6E">
      <w:pPr>
        <w:pStyle w:val="FootnoteText"/>
        <w:tabs>
          <w:tab w:val="clear" w:pos="567"/>
        </w:tabs>
        <w:spacing w:after="60"/>
        <w:ind w:left="0" w:firstLine="0"/>
        <w:rPr>
          <w:sz w:val="22"/>
          <w:szCs w:val="22"/>
        </w:rPr>
      </w:pPr>
      <w:r w:rsidRPr="00191D29">
        <w:rPr>
          <w:sz w:val="22"/>
          <w:szCs w:val="22"/>
        </w:rPr>
        <w:t>8</w:t>
      </w:r>
      <w:r w:rsidRPr="00191D29">
        <w:rPr>
          <w:sz w:val="22"/>
          <w:szCs w:val="22"/>
        </w:rPr>
        <w:tab/>
        <w:t xml:space="preserve">The ZESF should establish an account for each ship to which </w:t>
      </w:r>
      <w:r w:rsidRPr="00191D29">
        <w:rPr>
          <w:sz w:val="22"/>
          <w:szCs w:val="22"/>
        </w:rPr>
        <w:br/>
        <w:t xml:space="preserve">Chapter 6 of MARPOL Annex VI applies, in accordance with the IMO </w:t>
      </w:r>
      <w:r w:rsidRPr="00191D29">
        <w:rPr>
          <w:sz w:val="22"/>
          <w:szCs w:val="22"/>
          <w:shd w:val="clear" w:color="auto" w:fill="F5F7FA"/>
        </w:rPr>
        <w:t xml:space="preserve">ship identification scheme </w:t>
      </w:r>
      <w:r w:rsidRPr="00191D29">
        <w:rPr>
          <w:sz w:val="22"/>
          <w:szCs w:val="22"/>
          <w:lang w:eastAsia="ja-JP"/>
        </w:rPr>
        <w:t>(</w:t>
      </w:r>
      <w:r w:rsidR="00562052" w:rsidRPr="00191D29">
        <w:rPr>
          <w:sz w:val="22"/>
          <w:szCs w:val="22"/>
        </w:rPr>
        <w:t>resolution A.1078(28)</w:t>
      </w:r>
      <w:r w:rsidRPr="00191D29">
        <w:rPr>
          <w:sz w:val="22"/>
          <w:szCs w:val="22"/>
          <w:lang w:eastAsia="ja-JP"/>
        </w:rPr>
        <w:t xml:space="preserve">) </w:t>
      </w:r>
      <w:r w:rsidRPr="00191D29">
        <w:rPr>
          <w:sz w:val="22"/>
          <w:szCs w:val="22"/>
        </w:rPr>
        <w:t>to which contributions can be submitted by the Company responsible for that ship as defined by paragraph 2.8 of regulation 2 of MARPOL Annex VI.</w:t>
      </w:r>
    </w:p>
    <w:p w14:paraId="5BC133EE" w14:textId="77777777" w:rsidR="00B04B6E" w:rsidRPr="00191D29" w:rsidRDefault="00B04B6E" w:rsidP="00B04B6E">
      <w:pPr>
        <w:tabs>
          <w:tab w:val="clear" w:pos="851"/>
        </w:tabs>
        <w:rPr>
          <w:szCs w:val="22"/>
        </w:rPr>
      </w:pPr>
    </w:p>
    <w:p w14:paraId="1DF20AED" w14:textId="78C84216" w:rsidR="00B04B6E" w:rsidRPr="000A6875" w:rsidRDefault="00B04B6E" w:rsidP="00B04B6E">
      <w:pPr>
        <w:rPr>
          <w:szCs w:val="22"/>
        </w:rPr>
      </w:pPr>
      <w:r w:rsidRPr="000A6875">
        <w:rPr>
          <w:szCs w:val="22"/>
        </w:rPr>
        <w:t>9</w:t>
      </w:r>
      <w:r w:rsidRPr="000A6875">
        <w:rPr>
          <w:szCs w:val="22"/>
        </w:rPr>
        <w:tab/>
        <w:t xml:space="preserve">No later than one month after receiving the data as specified in </w:t>
      </w:r>
      <w:r w:rsidRPr="000A6875">
        <w:rPr>
          <w:szCs w:val="22"/>
        </w:rPr>
        <w:br/>
        <w:t>regulation 35.</w:t>
      </w:r>
      <w:r w:rsidR="00965DEE" w:rsidRPr="000A6875">
        <w:rPr>
          <w:szCs w:val="22"/>
        </w:rPr>
        <w:t xml:space="preserve">3 </w:t>
      </w:r>
      <w:r w:rsidRPr="000A6875">
        <w:rPr>
          <w:szCs w:val="22"/>
        </w:rPr>
        <w:t xml:space="preserve">of MARPOL Annex VI, the ZESF should provide a provisional statement for each ship which sets out the total contribution to be made to the ZESF for the previous calendar year, as required under regulation 35.1 of MARPOL Annex VI. </w:t>
      </w:r>
    </w:p>
    <w:p w14:paraId="6999FB4A" w14:textId="77777777" w:rsidR="00B04B6E" w:rsidRPr="000A6875" w:rsidRDefault="00B04B6E" w:rsidP="00B04B6E">
      <w:pPr>
        <w:rPr>
          <w:szCs w:val="22"/>
        </w:rPr>
      </w:pPr>
    </w:p>
    <w:p w14:paraId="534A33E0" w14:textId="77777777" w:rsidR="00B04B6E" w:rsidRPr="000A6875" w:rsidRDefault="00B04B6E" w:rsidP="00B04B6E">
      <w:pPr>
        <w:rPr>
          <w:szCs w:val="22"/>
        </w:rPr>
      </w:pPr>
      <w:r w:rsidRPr="000A6875">
        <w:rPr>
          <w:szCs w:val="22"/>
        </w:rPr>
        <w:t>10</w:t>
      </w:r>
      <w:r w:rsidRPr="000A6875">
        <w:rPr>
          <w:szCs w:val="22"/>
        </w:rPr>
        <w:tab/>
        <w:t>No later than one month after receiving the contribution from each ship, as required under regulation 35.1 of MARPOL Annex VI, the ZESF shall provide an Annual Account Statement to each ship confirming that the total contribution to be made to the ZESF for that ship for the previous calendar year has been made, in accordance with regulation 35.5 of MARPOL Annex VI.</w:t>
      </w:r>
    </w:p>
    <w:p w14:paraId="3545DD68" w14:textId="77777777" w:rsidR="00711C18" w:rsidRPr="00191D29" w:rsidRDefault="00711C18" w:rsidP="00B04B6E">
      <w:pPr>
        <w:rPr>
          <w:szCs w:val="22"/>
        </w:rPr>
      </w:pPr>
    </w:p>
    <w:p w14:paraId="2813A8C2" w14:textId="359C5196" w:rsidR="00B04B6E" w:rsidRPr="00191D29" w:rsidRDefault="00B04B6E" w:rsidP="00B04B6E">
      <w:pPr>
        <w:rPr>
          <w:szCs w:val="22"/>
        </w:rPr>
      </w:pPr>
      <w:r w:rsidRPr="00191D29">
        <w:rPr>
          <w:szCs w:val="22"/>
        </w:rPr>
        <w:t>11</w:t>
      </w:r>
      <w:r w:rsidRPr="00191D29">
        <w:rPr>
          <w:szCs w:val="22"/>
        </w:rPr>
        <w:tab/>
        <w:t xml:space="preserve">The mechanism for the ZESF to collect contributions should allow the Company, as defined by paragraph 2.8 of regulation 2 of MARPOL Annex VI, that is responsible for making contributions on behalf of the ship, to make a single annual contribution </w:t>
      </w:r>
      <w:r w:rsidRPr="000A6875">
        <w:rPr>
          <w:szCs w:val="22"/>
        </w:rPr>
        <w:t>calculated from the data reported to the ZESF in accordance with regulation 35.</w:t>
      </w:r>
      <w:r w:rsidR="00711C18" w:rsidRPr="000A6875">
        <w:rPr>
          <w:szCs w:val="22"/>
        </w:rPr>
        <w:t xml:space="preserve">3 </w:t>
      </w:r>
      <w:r w:rsidRPr="000A6875">
        <w:rPr>
          <w:szCs w:val="22"/>
        </w:rPr>
        <w:t xml:space="preserve">of MARPOL Annex VI. In addition, the mechanism should allow the Company the option </w:t>
      </w:r>
      <w:r w:rsidRPr="00191D29">
        <w:rPr>
          <w:szCs w:val="22"/>
        </w:rPr>
        <w:t>to make contributions in advance, on a quarterly basis or as frequently as may be required, based on fuel oil purchased for consumption by the ship</w:t>
      </w:r>
      <w:r w:rsidRPr="000A6875">
        <w:rPr>
          <w:szCs w:val="22"/>
        </w:rPr>
        <w:t>.</w:t>
      </w:r>
    </w:p>
    <w:p w14:paraId="153DF1FF" w14:textId="77777777" w:rsidR="00B04B6E" w:rsidRPr="000A6875" w:rsidRDefault="00B04B6E" w:rsidP="00B04B6E">
      <w:pPr>
        <w:rPr>
          <w:szCs w:val="22"/>
        </w:rPr>
      </w:pPr>
    </w:p>
    <w:p w14:paraId="04797D1C" w14:textId="77777777" w:rsidR="00B04B6E" w:rsidRPr="000A6875" w:rsidRDefault="00B04B6E" w:rsidP="00B04B6E">
      <w:pPr>
        <w:rPr>
          <w:i/>
          <w:iCs/>
          <w:szCs w:val="22"/>
        </w:rPr>
      </w:pPr>
      <w:r w:rsidRPr="000A6875">
        <w:rPr>
          <w:i/>
          <w:iCs/>
          <w:szCs w:val="22"/>
        </w:rPr>
        <w:t>Funding of rewards (feebates) by the ZESF</w:t>
      </w:r>
    </w:p>
    <w:p w14:paraId="43C15ADC" w14:textId="77777777" w:rsidR="00B04B6E" w:rsidRPr="000A6875" w:rsidRDefault="00B04B6E" w:rsidP="00B04B6E">
      <w:pPr>
        <w:rPr>
          <w:szCs w:val="22"/>
        </w:rPr>
      </w:pPr>
    </w:p>
    <w:p w14:paraId="6BC792E5" w14:textId="77777777" w:rsidR="00B04B6E" w:rsidRPr="000A6875" w:rsidRDefault="00B04B6E" w:rsidP="00B04B6E">
      <w:pPr>
        <w:rPr>
          <w:szCs w:val="22"/>
        </w:rPr>
      </w:pPr>
      <w:r w:rsidRPr="000A6875">
        <w:rPr>
          <w:szCs w:val="22"/>
        </w:rPr>
        <w:t>12</w:t>
      </w:r>
      <w:r w:rsidRPr="000A6875">
        <w:rPr>
          <w:szCs w:val="22"/>
        </w:rPr>
        <w:tab/>
        <w:t>Funding of rewards by the ZESF should be as follows:</w:t>
      </w:r>
    </w:p>
    <w:p w14:paraId="625B4763" w14:textId="77777777" w:rsidR="00B04B6E" w:rsidRPr="000A6875" w:rsidRDefault="00B04B6E" w:rsidP="00B04B6E">
      <w:pPr>
        <w:rPr>
          <w:szCs w:val="22"/>
        </w:rPr>
      </w:pPr>
    </w:p>
    <w:p w14:paraId="62CE85E4" w14:textId="77777777" w:rsidR="00B04B6E" w:rsidRPr="000A6875" w:rsidRDefault="00B04B6E" w:rsidP="00B04B6E">
      <w:pPr>
        <w:ind w:left="1701" w:hanging="1700"/>
        <w:rPr>
          <w:szCs w:val="22"/>
        </w:rPr>
      </w:pPr>
      <w:r w:rsidRPr="000A6875">
        <w:rPr>
          <w:szCs w:val="22"/>
        </w:rPr>
        <w:tab/>
        <w:t>.1</w:t>
      </w:r>
      <w:r w:rsidRPr="000A6875">
        <w:rPr>
          <w:szCs w:val="22"/>
        </w:rPr>
        <w:tab/>
        <w:t xml:space="preserve">for ships using eligible zero or near-zero GHG fuels and technologies as defined by Guidelines adopted by the Organization, that are delivered to and </w:t>
      </w:r>
      <w:r w:rsidRPr="000A6875">
        <w:rPr>
          <w:szCs w:val="22"/>
        </w:rPr>
        <w:lastRenderedPageBreak/>
        <w:t>intended for combustion purposes for propulsion or operation on board a ship;</w:t>
      </w:r>
    </w:p>
    <w:p w14:paraId="27F36F5F" w14:textId="77777777" w:rsidR="00B04B6E" w:rsidRPr="000A6875" w:rsidRDefault="00B04B6E" w:rsidP="00B04B6E">
      <w:pPr>
        <w:ind w:left="1701" w:hanging="1700"/>
        <w:rPr>
          <w:szCs w:val="22"/>
        </w:rPr>
      </w:pPr>
    </w:p>
    <w:p w14:paraId="4104466F" w14:textId="755445C2" w:rsidR="00B04B6E" w:rsidRPr="000A6875" w:rsidRDefault="00B04B6E" w:rsidP="00B04B6E">
      <w:pPr>
        <w:ind w:left="1701" w:hanging="1700"/>
        <w:rPr>
          <w:szCs w:val="22"/>
        </w:rPr>
      </w:pPr>
      <w:r w:rsidRPr="000A6875">
        <w:rPr>
          <w:szCs w:val="22"/>
        </w:rPr>
        <w:tab/>
        <w:t>.2</w:t>
      </w:r>
      <w:r w:rsidRPr="000A6875">
        <w:rPr>
          <w:szCs w:val="22"/>
        </w:rPr>
        <w:tab/>
        <w:t>determined using data on consumption of eligible zero or near-zero GHG fuels submitted by the ship to the Administration pursuant to the requirements of regulation 27 of MARPOL Annex VI (IMO Data Collection System</w:t>
      </w:r>
      <w:r w:rsidR="00456B17" w:rsidRPr="000A6875">
        <w:rPr>
          <w:szCs w:val="22"/>
        </w:rPr>
        <w:t>, as amended</w:t>
      </w:r>
      <w:r w:rsidRPr="000A6875">
        <w:rPr>
          <w:szCs w:val="22"/>
        </w:rPr>
        <w:t>); and</w:t>
      </w:r>
    </w:p>
    <w:p w14:paraId="5C0EEFA2" w14:textId="77777777" w:rsidR="00B04B6E" w:rsidRPr="000A6875" w:rsidRDefault="00B04B6E" w:rsidP="00B04B6E">
      <w:pPr>
        <w:ind w:left="1701" w:hanging="1700"/>
        <w:rPr>
          <w:szCs w:val="22"/>
        </w:rPr>
      </w:pPr>
    </w:p>
    <w:p w14:paraId="440BF57D" w14:textId="48F2AA41" w:rsidR="00B04B6E" w:rsidRPr="000A6875" w:rsidRDefault="00B04B6E" w:rsidP="00B04B6E">
      <w:pPr>
        <w:ind w:left="1701" w:hanging="1700"/>
        <w:rPr>
          <w:i/>
          <w:iCs/>
          <w:szCs w:val="22"/>
        </w:rPr>
      </w:pPr>
      <w:r w:rsidRPr="000A6875">
        <w:rPr>
          <w:szCs w:val="22"/>
        </w:rPr>
        <w:tab/>
        <w:t>.3</w:t>
      </w:r>
      <w:r w:rsidRPr="000A6875">
        <w:rPr>
          <w:szCs w:val="22"/>
        </w:rPr>
        <w:tab/>
        <w:t>at a reward rate agreed by the MEPC of [</w:t>
      </w:r>
      <w:r w:rsidR="00456B17" w:rsidRPr="000A6875">
        <w:rPr>
          <w:szCs w:val="22"/>
        </w:rPr>
        <w:t>…</w:t>
      </w:r>
      <w:r w:rsidRPr="000A6875">
        <w:rPr>
          <w:szCs w:val="22"/>
        </w:rPr>
        <w:t>] USD per tonne of CO</w:t>
      </w:r>
      <w:r w:rsidRPr="000A6875">
        <w:rPr>
          <w:szCs w:val="22"/>
          <w:vertAlign w:val="subscript"/>
        </w:rPr>
        <w:t>2</w:t>
      </w:r>
      <w:r w:rsidRPr="000A6875">
        <w:rPr>
          <w:szCs w:val="22"/>
        </w:rPr>
        <w:t xml:space="preserve">e emissions prevented compared to using marine diesel/gas oil, </w:t>
      </w:r>
      <w:r w:rsidRPr="00191D29">
        <w:t>calculated in terms of CO</w:t>
      </w:r>
      <w:r w:rsidRPr="00191D29">
        <w:rPr>
          <w:vertAlign w:val="subscript"/>
        </w:rPr>
        <w:t>2</w:t>
      </w:r>
      <w:r w:rsidRPr="00191D29">
        <w:t xml:space="preserve">e that would been emitted by combusting diesel/gas oil </w:t>
      </w:r>
      <w:bookmarkStart w:id="13" w:name="_Hlk155535777"/>
      <w:r w:rsidRPr="00191D29">
        <w:t>which generated the same amount of energy.</w:t>
      </w:r>
    </w:p>
    <w:bookmarkEnd w:id="13"/>
    <w:p w14:paraId="19D59BDF" w14:textId="77777777" w:rsidR="00B04B6E" w:rsidRPr="000A6875" w:rsidRDefault="00B04B6E" w:rsidP="00B04B6E">
      <w:pPr>
        <w:ind w:hanging="1700"/>
        <w:rPr>
          <w:rFonts w:cs="Arial"/>
          <w:szCs w:val="22"/>
        </w:rPr>
      </w:pPr>
    </w:p>
    <w:p w14:paraId="32C97D39" w14:textId="77777777" w:rsidR="00B04B6E" w:rsidRPr="000A6875" w:rsidRDefault="00B04B6E" w:rsidP="00B04B6E">
      <w:pPr>
        <w:rPr>
          <w:rFonts w:cs="Arial"/>
          <w:szCs w:val="22"/>
        </w:rPr>
      </w:pPr>
      <w:r w:rsidRPr="000A6875">
        <w:rPr>
          <w:rFonts w:cs="Arial"/>
          <w:szCs w:val="22"/>
        </w:rPr>
        <w:t>13</w:t>
      </w:r>
      <w:r w:rsidRPr="000A6875">
        <w:rPr>
          <w:rFonts w:cs="Arial"/>
          <w:szCs w:val="22"/>
        </w:rPr>
        <w:tab/>
        <w:t xml:space="preserve">Funding of rewards to ships should not commence until the second calendar year following entry into force of Chapter 6 of MARPOL Annex VI.  </w:t>
      </w:r>
    </w:p>
    <w:p w14:paraId="76D5CAEC" w14:textId="77777777" w:rsidR="00B04B6E" w:rsidRPr="000A6875" w:rsidRDefault="00B04B6E" w:rsidP="00B04B6E">
      <w:pPr>
        <w:ind w:hanging="1700"/>
        <w:rPr>
          <w:rFonts w:cs="Arial"/>
          <w:szCs w:val="22"/>
        </w:rPr>
      </w:pPr>
    </w:p>
    <w:p w14:paraId="02D6AA10" w14:textId="77777777" w:rsidR="00B04B6E" w:rsidRPr="000A6875" w:rsidRDefault="00B04B6E" w:rsidP="00B04B6E">
      <w:pPr>
        <w:ind w:firstLine="1"/>
        <w:rPr>
          <w:rFonts w:cs="Arial"/>
          <w:szCs w:val="22"/>
        </w:rPr>
      </w:pPr>
      <w:r w:rsidRPr="000A6875">
        <w:rPr>
          <w:rFonts w:cs="Arial"/>
          <w:szCs w:val="22"/>
        </w:rPr>
        <w:t>14</w:t>
      </w:r>
      <w:r w:rsidRPr="000A6875">
        <w:rPr>
          <w:rFonts w:cs="Arial"/>
          <w:szCs w:val="22"/>
        </w:rPr>
        <w:tab/>
        <w:t>The necessary funding for rewards by the ZESF should be reviewed by the Committee within five years following the adoption of Chapter 6 of MARPOL Annex VI.</w:t>
      </w:r>
    </w:p>
    <w:p w14:paraId="0046D1B4" w14:textId="77777777" w:rsidR="00B04B6E" w:rsidRPr="000A6875" w:rsidRDefault="00B04B6E" w:rsidP="00B04B6E">
      <w:pPr>
        <w:rPr>
          <w:i/>
          <w:iCs/>
          <w:szCs w:val="22"/>
        </w:rPr>
      </w:pPr>
    </w:p>
    <w:p w14:paraId="37E7881D" w14:textId="77777777" w:rsidR="00B04B6E" w:rsidRPr="000A6875" w:rsidRDefault="00B04B6E" w:rsidP="00B04B6E">
      <w:pPr>
        <w:rPr>
          <w:szCs w:val="22"/>
        </w:rPr>
      </w:pPr>
      <w:r w:rsidRPr="000A6875">
        <w:rPr>
          <w:i/>
          <w:iCs/>
          <w:szCs w:val="22"/>
        </w:rPr>
        <w:t>Reward rate for CO</w:t>
      </w:r>
      <w:r w:rsidRPr="000A6875">
        <w:rPr>
          <w:i/>
          <w:iCs/>
          <w:szCs w:val="22"/>
          <w:vertAlign w:val="subscript"/>
        </w:rPr>
        <w:t>2</w:t>
      </w:r>
      <w:r w:rsidRPr="000A6875">
        <w:rPr>
          <w:i/>
          <w:iCs/>
          <w:szCs w:val="22"/>
        </w:rPr>
        <w:t xml:space="preserve">e emissions prevented by use of eligible fuels </w:t>
      </w:r>
    </w:p>
    <w:p w14:paraId="485D80F8" w14:textId="77777777" w:rsidR="00B04B6E" w:rsidRPr="00191D29" w:rsidRDefault="00B04B6E" w:rsidP="00B04B6E">
      <w:pPr>
        <w:ind w:hanging="1700"/>
      </w:pPr>
    </w:p>
    <w:p w14:paraId="46297BC4" w14:textId="77777777" w:rsidR="00B04B6E" w:rsidRPr="00191D29" w:rsidRDefault="00B04B6E" w:rsidP="00B04B6E">
      <w:r w:rsidRPr="00191D29">
        <w:t>15</w:t>
      </w:r>
      <w:r w:rsidRPr="00191D29">
        <w:tab/>
        <w:t xml:space="preserve">The reward rate for </w:t>
      </w:r>
      <w:r w:rsidRPr="000A6875">
        <w:rPr>
          <w:szCs w:val="22"/>
        </w:rPr>
        <w:t>CO</w:t>
      </w:r>
      <w:r w:rsidRPr="000A6875">
        <w:rPr>
          <w:szCs w:val="22"/>
          <w:vertAlign w:val="subscript"/>
        </w:rPr>
        <w:t>2</w:t>
      </w:r>
      <w:r w:rsidRPr="000A6875">
        <w:rPr>
          <w:szCs w:val="22"/>
        </w:rPr>
        <w:t>e emissions prevented</w:t>
      </w:r>
      <w:r w:rsidRPr="00191D29">
        <w:t xml:space="preserve"> will be reviewed within five years of the adoption of Chapter 6 of MARPOL Annex VI. However, the equivalent reward rate per tonne of fuel consumed may be adjusted to take account of any adjustments to conversion factors contained in the LCA Guidelines (MEPC.376(80)) as may be amended.   </w:t>
      </w:r>
    </w:p>
    <w:p w14:paraId="407DE798" w14:textId="77777777" w:rsidR="00B04B6E" w:rsidRPr="00191D29" w:rsidRDefault="00B04B6E" w:rsidP="00B04B6E"/>
    <w:p w14:paraId="392A8072" w14:textId="77777777" w:rsidR="00B04B6E" w:rsidRPr="000A6875" w:rsidRDefault="00B04B6E" w:rsidP="00B04B6E">
      <w:pPr>
        <w:rPr>
          <w:i/>
          <w:iCs/>
          <w:szCs w:val="22"/>
        </w:rPr>
      </w:pPr>
      <w:r w:rsidRPr="000A6875">
        <w:rPr>
          <w:i/>
          <w:iCs/>
          <w:szCs w:val="22"/>
        </w:rPr>
        <w:t>Funding to support activities of the IMO (GHG) Maritime Sustainability Fund</w:t>
      </w:r>
    </w:p>
    <w:p w14:paraId="2E8E612B" w14:textId="77777777" w:rsidR="00B04B6E" w:rsidRPr="000A6875" w:rsidRDefault="00B04B6E" w:rsidP="00B04B6E">
      <w:pPr>
        <w:rPr>
          <w:szCs w:val="22"/>
        </w:rPr>
      </w:pPr>
    </w:p>
    <w:p w14:paraId="27327A9A" w14:textId="77777777" w:rsidR="00B04B6E" w:rsidRPr="000A6875" w:rsidRDefault="00B04B6E" w:rsidP="00B04B6E">
      <w:pPr>
        <w:rPr>
          <w:rFonts w:cs="Arial"/>
          <w:szCs w:val="22"/>
        </w:rPr>
      </w:pPr>
      <w:r w:rsidRPr="000A6875">
        <w:rPr>
          <w:szCs w:val="22"/>
        </w:rPr>
        <w:t>16</w:t>
      </w:r>
      <w:r w:rsidRPr="000A6875">
        <w:rPr>
          <w:szCs w:val="22"/>
        </w:rPr>
        <w:tab/>
        <w:t xml:space="preserve">Funding of </w:t>
      </w:r>
      <w:r w:rsidRPr="000A6875">
        <w:rPr>
          <w:rFonts w:cs="Arial"/>
          <w:szCs w:val="22"/>
        </w:rPr>
        <w:t>support for the purposes set out in regulation 33.2.3 of Chapter 6 of MARPOL Annex VI should be decided by the Committee in accordance with regulation 33.4 and, provided IMSF funds are used for the purposes set out in regulation 33.2.2, GHG reduction projects and programmes supported by this funding may be administered by other United Nations agencies.</w:t>
      </w:r>
    </w:p>
    <w:p w14:paraId="56962077" w14:textId="77777777" w:rsidR="00B04B6E" w:rsidRPr="000A6875" w:rsidRDefault="00B04B6E" w:rsidP="00B04B6E">
      <w:pPr>
        <w:rPr>
          <w:b/>
          <w:szCs w:val="22"/>
          <w:highlight w:val="yellow"/>
        </w:rPr>
      </w:pPr>
    </w:p>
    <w:p w14:paraId="586849C0" w14:textId="77777777" w:rsidR="00B04B6E" w:rsidRPr="000A6875" w:rsidRDefault="00B04B6E" w:rsidP="00B04B6E">
      <w:pPr>
        <w:rPr>
          <w:b/>
          <w:szCs w:val="22"/>
        </w:rPr>
      </w:pPr>
      <w:r w:rsidRPr="000A6875">
        <w:rPr>
          <w:b/>
          <w:szCs w:val="22"/>
        </w:rPr>
        <w:t>IMO (GHG) Maritime Sustainability Fund (IMSF)</w:t>
      </w:r>
    </w:p>
    <w:p w14:paraId="33E22065" w14:textId="77777777" w:rsidR="00B04B6E" w:rsidRPr="00191D29" w:rsidRDefault="00B04B6E" w:rsidP="00B04B6E">
      <w:pPr>
        <w:rPr>
          <w:szCs w:val="22"/>
        </w:rPr>
      </w:pPr>
    </w:p>
    <w:p w14:paraId="05018DC6" w14:textId="77777777" w:rsidR="00B04B6E" w:rsidRPr="00191D29" w:rsidRDefault="00B04B6E" w:rsidP="00B04B6E">
      <w:pPr>
        <w:rPr>
          <w:i/>
          <w:szCs w:val="22"/>
        </w:rPr>
      </w:pPr>
      <w:r w:rsidRPr="00191D29">
        <w:rPr>
          <w:i/>
          <w:szCs w:val="22"/>
        </w:rPr>
        <w:t>Management of IMSF</w:t>
      </w:r>
    </w:p>
    <w:p w14:paraId="27A8988F" w14:textId="77777777" w:rsidR="00B04B6E" w:rsidRPr="00191D29" w:rsidRDefault="00B04B6E" w:rsidP="00B04B6E">
      <w:pPr>
        <w:rPr>
          <w:szCs w:val="22"/>
        </w:rPr>
      </w:pPr>
    </w:p>
    <w:p w14:paraId="09F15F33" w14:textId="77777777" w:rsidR="00B04B6E" w:rsidRPr="00191D29" w:rsidRDefault="00B04B6E" w:rsidP="00B04B6E">
      <w:pPr>
        <w:rPr>
          <w:szCs w:val="22"/>
        </w:rPr>
      </w:pPr>
      <w:r w:rsidRPr="000A6875">
        <w:rPr>
          <w:szCs w:val="22"/>
        </w:rPr>
        <w:t>17</w:t>
      </w:r>
      <w:r w:rsidRPr="000A6875">
        <w:rPr>
          <w:szCs w:val="22"/>
        </w:rPr>
        <w:tab/>
        <w:t>The IMSF should be established, managed and operated without cost to the Organization, and once the ZESF is operational, costs can be recovered from the ZESF.</w:t>
      </w:r>
    </w:p>
    <w:p w14:paraId="0BDDD251" w14:textId="77777777" w:rsidR="00B04B6E" w:rsidRPr="00191D29" w:rsidRDefault="00B04B6E" w:rsidP="00B04B6E">
      <w:pPr>
        <w:rPr>
          <w:szCs w:val="22"/>
        </w:rPr>
      </w:pPr>
    </w:p>
    <w:p w14:paraId="57DA1609" w14:textId="77777777" w:rsidR="00B04B6E" w:rsidRPr="00191D29" w:rsidRDefault="00B04B6E" w:rsidP="00B04B6E">
      <w:pPr>
        <w:rPr>
          <w:i/>
          <w:szCs w:val="22"/>
        </w:rPr>
      </w:pPr>
      <w:r w:rsidRPr="00191D29">
        <w:rPr>
          <w:i/>
          <w:szCs w:val="22"/>
        </w:rPr>
        <w:t xml:space="preserve">IMSF Term of Reference </w:t>
      </w:r>
    </w:p>
    <w:p w14:paraId="648C4257" w14:textId="77777777" w:rsidR="00B04B6E" w:rsidRPr="00191D29" w:rsidRDefault="00B04B6E" w:rsidP="00B04B6E">
      <w:pPr>
        <w:rPr>
          <w:szCs w:val="22"/>
        </w:rPr>
      </w:pPr>
    </w:p>
    <w:p w14:paraId="73D9F319" w14:textId="77777777" w:rsidR="00B04B6E" w:rsidRPr="000A6875" w:rsidRDefault="00B04B6E" w:rsidP="00B04B6E">
      <w:pPr>
        <w:rPr>
          <w:szCs w:val="22"/>
        </w:rPr>
      </w:pPr>
      <w:r w:rsidRPr="000A6875">
        <w:rPr>
          <w:szCs w:val="22"/>
        </w:rPr>
        <w:t>18</w:t>
      </w:r>
      <w:r w:rsidRPr="000A6875">
        <w:rPr>
          <w:szCs w:val="22"/>
        </w:rPr>
        <w:tab/>
        <w:t xml:space="preserve">The IMSF terms of reference, referred to in regulation 34.2  should set out, inter alia, the primary objectives of the IMSF, critical principles and operating parameters, without prejudice to existing national laws and regulations. </w:t>
      </w:r>
    </w:p>
    <w:p w14:paraId="0B4FEAB7" w14:textId="77777777" w:rsidR="00B04B6E" w:rsidRPr="000A6875" w:rsidRDefault="00B04B6E" w:rsidP="00B04B6E">
      <w:pPr>
        <w:rPr>
          <w:i/>
          <w:szCs w:val="22"/>
        </w:rPr>
      </w:pPr>
    </w:p>
    <w:p w14:paraId="13EC1FDC" w14:textId="77777777" w:rsidR="00B04B6E" w:rsidRPr="000A6875" w:rsidRDefault="00B04B6E" w:rsidP="00B04B6E">
      <w:pPr>
        <w:rPr>
          <w:i/>
          <w:szCs w:val="22"/>
        </w:rPr>
      </w:pPr>
      <w:r w:rsidRPr="000A6875">
        <w:rPr>
          <w:i/>
          <w:szCs w:val="22"/>
        </w:rPr>
        <w:t>Oversight of the IMSF by the Marine Environment Protection Committee</w:t>
      </w:r>
    </w:p>
    <w:p w14:paraId="648F094C" w14:textId="77777777" w:rsidR="00B04B6E" w:rsidRPr="000A6875" w:rsidRDefault="00B04B6E" w:rsidP="00B04B6E">
      <w:pPr>
        <w:rPr>
          <w:i/>
          <w:szCs w:val="22"/>
        </w:rPr>
      </w:pPr>
    </w:p>
    <w:p w14:paraId="5E64824C" w14:textId="77777777" w:rsidR="00B04B6E" w:rsidRPr="000A6875" w:rsidRDefault="00B04B6E" w:rsidP="00B04B6E">
      <w:pPr>
        <w:rPr>
          <w:szCs w:val="22"/>
        </w:rPr>
      </w:pPr>
      <w:r w:rsidRPr="000A6875">
        <w:rPr>
          <w:szCs w:val="22"/>
        </w:rPr>
        <w:t>19</w:t>
      </w:r>
      <w:r w:rsidRPr="000A6875">
        <w:rPr>
          <w:szCs w:val="22"/>
        </w:rPr>
        <w:tab/>
        <w:t>The Committee should establish arrangements, inter alia, for the approval of the annual budget and expenditure of the IMSF, oversight of the IMSF’s management functions and work in accordance with the IMSF terms of reference, and approval of the appointment of the IMSF’s senior officers.</w:t>
      </w:r>
    </w:p>
    <w:p w14:paraId="50E787B5" w14:textId="77777777" w:rsidR="00B04B6E" w:rsidRPr="000A6875" w:rsidRDefault="00B04B6E" w:rsidP="00B04B6E">
      <w:pPr>
        <w:rPr>
          <w:szCs w:val="22"/>
        </w:rPr>
      </w:pPr>
    </w:p>
    <w:p w14:paraId="5D4E0C62" w14:textId="77777777" w:rsidR="00B04B6E" w:rsidRPr="000A6875" w:rsidRDefault="00B04B6E" w:rsidP="00B04B6E">
      <w:pPr>
        <w:rPr>
          <w:szCs w:val="22"/>
        </w:rPr>
      </w:pPr>
      <w:r w:rsidRPr="00191D29">
        <w:rPr>
          <w:szCs w:val="22"/>
        </w:rPr>
        <w:t>20</w:t>
      </w:r>
      <w:r w:rsidRPr="00191D29">
        <w:rPr>
          <w:szCs w:val="22"/>
        </w:rPr>
        <w:tab/>
      </w:r>
      <w:r w:rsidRPr="000A6875">
        <w:rPr>
          <w:szCs w:val="22"/>
        </w:rPr>
        <w:t xml:space="preserve">The specific responsibilities of the Committee should include, but not be limited, to: </w:t>
      </w:r>
    </w:p>
    <w:p w14:paraId="163DFF72" w14:textId="77777777" w:rsidR="00B04B6E" w:rsidRPr="000A6875" w:rsidRDefault="00B04B6E" w:rsidP="00B04B6E">
      <w:pPr>
        <w:rPr>
          <w:szCs w:val="22"/>
        </w:rPr>
      </w:pPr>
    </w:p>
    <w:p w14:paraId="637D64D8" w14:textId="77777777" w:rsidR="00B04B6E" w:rsidRPr="000A6875" w:rsidRDefault="00B04B6E" w:rsidP="00B04B6E">
      <w:pPr>
        <w:ind w:left="1701" w:hanging="850"/>
        <w:rPr>
          <w:szCs w:val="22"/>
        </w:rPr>
      </w:pPr>
      <w:r w:rsidRPr="000A6875">
        <w:rPr>
          <w:szCs w:val="22"/>
        </w:rPr>
        <w:t>.1</w:t>
      </w:r>
      <w:r w:rsidRPr="000A6875">
        <w:rPr>
          <w:szCs w:val="22"/>
        </w:rPr>
        <w:tab/>
        <w:t>providing general oversight and advice to the IMSF and its supervisory committee on the strategic direction and annual budget of the IMSF;</w:t>
      </w:r>
    </w:p>
    <w:p w14:paraId="5C92A7A8" w14:textId="77777777" w:rsidR="00B04B6E" w:rsidRPr="000A6875" w:rsidRDefault="00B04B6E" w:rsidP="00B04B6E">
      <w:pPr>
        <w:ind w:left="1701" w:hanging="850"/>
        <w:rPr>
          <w:szCs w:val="22"/>
        </w:rPr>
      </w:pPr>
    </w:p>
    <w:p w14:paraId="0136B52C" w14:textId="77777777" w:rsidR="00B04B6E" w:rsidRPr="000A6875" w:rsidRDefault="00B04B6E" w:rsidP="00B04B6E">
      <w:pPr>
        <w:ind w:left="1701" w:hanging="850"/>
        <w:rPr>
          <w:szCs w:val="22"/>
        </w:rPr>
      </w:pPr>
      <w:r w:rsidRPr="000A6875">
        <w:rPr>
          <w:szCs w:val="22"/>
        </w:rPr>
        <w:t>.2</w:t>
      </w:r>
      <w:r w:rsidRPr="000A6875">
        <w:rPr>
          <w:szCs w:val="22"/>
        </w:rPr>
        <w:tab/>
        <w:t>ensuring that the IMSF performs its duties and responsibilities consistent with the objectives set forth in the IMSF terms of reference;</w:t>
      </w:r>
    </w:p>
    <w:p w14:paraId="2AD103FF" w14:textId="77777777" w:rsidR="00B04B6E" w:rsidRPr="000A6875" w:rsidRDefault="00B04B6E" w:rsidP="00B04B6E">
      <w:pPr>
        <w:ind w:left="1701" w:hanging="850"/>
        <w:rPr>
          <w:szCs w:val="22"/>
        </w:rPr>
      </w:pPr>
    </w:p>
    <w:p w14:paraId="2F930B28" w14:textId="4733EBCF" w:rsidR="00B04B6E" w:rsidRPr="000A6875" w:rsidRDefault="00B04B6E" w:rsidP="00B04B6E">
      <w:pPr>
        <w:ind w:left="1701" w:hanging="850"/>
        <w:rPr>
          <w:szCs w:val="22"/>
        </w:rPr>
      </w:pPr>
      <w:r w:rsidRPr="000A6875">
        <w:rPr>
          <w:szCs w:val="22"/>
        </w:rPr>
        <w:t>.3</w:t>
      </w:r>
      <w:r w:rsidRPr="000A6875">
        <w:rPr>
          <w:szCs w:val="22"/>
        </w:rPr>
        <w:tab/>
        <w:t>approving the overall annual operating budget for the IMSF after considering recommendations and other relevant information provided by the IMS</w:t>
      </w:r>
      <w:r w:rsidR="00F02006" w:rsidRPr="000A6875">
        <w:rPr>
          <w:szCs w:val="22"/>
        </w:rPr>
        <w:t>F</w:t>
      </w:r>
      <w:r w:rsidRPr="000A6875">
        <w:rPr>
          <w:szCs w:val="22"/>
        </w:rPr>
        <w:t xml:space="preserve"> and its supervisory committee;</w:t>
      </w:r>
    </w:p>
    <w:p w14:paraId="371FC161" w14:textId="77777777" w:rsidR="00B04B6E" w:rsidRPr="000A6875" w:rsidRDefault="00B04B6E" w:rsidP="00B04B6E">
      <w:pPr>
        <w:ind w:left="1701" w:hanging="850"/>
        <w:rPr>
          <w:szCs w:val="22"/>
        </w:rPr>
      </w:pPr>
    </w:p>
    <w:p w14:paraId="584A7F24" w14:textId="77777777" w:rsidR="00B04B6E" w:rsidRPr="000A6875" w:rsidRDefault="00B04B6E" w:rsidP="00B04B6E">
      <w:pPr>
        <w:ind w:left="1701" w:hanging="850"/>
        <w:rPr>
          <w:szCs w:val="22"/>
        </w:rPr>
      </w:pPr>
      <w:r w:rsidRPr="000A6875">
        <w:rPr>
          <w:szCs w:val="22"/>
        </w:rPr>
        <w:t>.4</w:t>
      </w:r>
      <w:r w:rsidRPr="000A6875">
        <w:rPr>
          <w:szCs w:val="22"/>
        </w:rPr>
        <w:tab/>
        <w:t>undertaking independent financial audits of the IMSF concerning the management and administration of its funds and related investments to ensure that the IMSF fully meets its fiduciary responsibilities, including the accounting of funds expended for GHG reduction projects and programmes, grants, and other funding provided by the IMSF using ZESF funds; and</w:t>
      </w:r>
    </w:p>
    <w:p w14:paraId="3CFC6298" w14:textId="77777777" w:rsidR="00B04B6E" w:rsidRPr="000A6875" w:rsidRDefault="00B04B6E" w:rsidP="00B04B6E">
      <w:pPr>
        <w:ind w:left="1701" w:hanging="850"/>
        <w:rPr>
          <w:szCs w:val="22"/>
        </w:rPr>
      </w:pPr>
    </w:p>
    <w:p w14:paraId="5E19827D" w14:textId="77777777" w:rsidR="00B04B6E" w:rsidRPr="000A6875" w:rsidRDefault="00B04B6E" w:rsidP="00B04B6E">
      <w:pPr>
        <w:ind w:left="1701" w:hanging="850"/>
        <w:rPr>
          <w:szCs w:val="22"/>
        </w:rPr>
      </w:pPr>
      <w:r w:rsidRPr="000A6875">
        <w:rPr>
          <w:szCs w:val="22"/>
        </w:rPr>
        <w:t>.5</w:t>
      </w:r>
      <w:r w:rsidRPr="000A6875">
        <w:rPr>
          <w:szCs w:val="22"/>
        </w:rPr>
        <w:tab/>
        <w:t>advising upon recommendations made by the IMSF supervisory committee to modify and adjust the IMSF strategy and budget, as appropriate</w:t>
      </w:r>
      <w:r w:rsidR="00955630" w:rsidRPr="000A6875">
        <w:rPr>
          <w:szCs w:val="22"/>
        </w:rPr>
        <w:t>.</w:t>
      </w:r>
    </w:p>
    <w:p w14:paraId="5AA8DC2E" w14:textId="77777777" w:rsidR="004656F3" w:rsidRPr="000A6875" w:rsidRDefault="004656F3" w:rsidP="00B04B6E">
      <w:pPr>
        <w:ind w:left="1701" w:hanging="850"/>
        <w:rPr>
          <w:szCs w:val="22"/>
        </w:rPr>
      </w:pPr>
    </w:p>
    <w:p w14:paraId="5DADA771" w14:textId="77777777" w:rsidR="004656F3" w:rsidRPr="000A6875" w:rsidRDefault="004656F3" w:rsidP="00B04B6E">
      <w:pPr>
        <w:ind w:left="1701" w:hanging="850"/>
        <w:rPr>
          <w:szCs w:val="22"/>
        </w:rPr>
      </w:pPr>
    </w:p>
    <w:p w14:paraId="40054D71" w14:textId="5CA2FA7B" w:rsidR="004656F3" w:rsidRPr="000A6875" w:rsidRDefault="004656F3" w:rsidP="004656F3">
      <w:pPr>
        <w:ind w:left="1701" w:hanging="850"/>
        <w:jc w:val="center"/>
        <w:rPr>
          <w:szCs w:val="22"/>
        </w:rPr>
      </w:pPr>
      <w:r w:rsidRPr="000A6875">
        <w:rPr>
          <w:szCs w:val="22"/>
        </w:rPr>
        <w:t>***</w:t>
      </w:r>
    </w:p>
    <w:p w14:paraId="395F24E1" w14:textId="43005014" w:rsidR="004656F3" w:rsidRPr="00191D29" w:rsidRDefault="004656F3" w:rsidP="004656F3">
      <w:pPr>
        <w:rPr>
          <w:szCs w:val="22"/>
        </w:rPr>
        <w:sectPr w:rsidR="004656F3" w:rsidRPr="00191D29" w:rsidSect="00DF3E2F">
          <w:headerReference w:type="even" r:id="rId36"/>
          <w:footnotePr>
            <w:numRestart w:val="eachSect"/>
          </w:footnotePr>
          <w:type w:val="continuous"/>
          <w:pgSz w:w="11900" w:h="16820"/>
          <w:pgMar w:top="1440" w:right="1410" w:bottom="1440" w:left="1418" w:header="708" w:footer="708" w:gutter="0"/>
          <w:cols w:space="708"/>
          <w:docGrid w:linePitch="360"/>
        </w:sectPr>
      </w:pPr>
    </w:p>
    <w:p w14:paraId="71EA0E76" w14:textId="77777777" w:rsidR="004656F3" w:rsidRPr="00191D29" w:rsidRDefault="004656F3" w:rsidP="004656F3">
      <w:pPr>
        <w:jc w:val="center"/>
        <w:rPr>
          <w:b/>
          <w:bCs/>
          <w:caps/>
          <w:szCs w:val="22"/>
        </w:rPr>
        <w:sectPr w:rsidR="004656F3" w:rsidRPr="00191D29" w:rsidSect="00DF3E2F">
          <w:headerReference w:type="even" r:id="rId37"/>
          <w:headerReference w:type="default" r:id="rId38"/>
          <w:footnotePr>
            <w:numRestart w:val="eachSect"/>
          </w:footnotePr>
          <w:type w:val="continuous"/>
          <w:pgSz w:w="11900" w:h="16820"/>
          <w:pgMar w:top="1440" w:right="1410" w:bottom="1440" w:left="1418" w:header="708" w:footer="708" w:gutter="0"/>
          <w:cols w:space="708"/>
          <w:docGrid w:linePitch="360"/>
        </w:sectPr>
      </w:pPr>
    </w:p>
    <w:p w14:paraId="6F3D89B8" w14:textId="31CBC8FB" w:rsidR="00B04B6E" w:rsidRPr="00191D29" w:rsidRDefault="00B04B6E" w:rsidP="004656F3">
      <w:pPr>
        <w:jc w:val="center"/>
        <w:rPr>
          <w:b/>
          <w:bCs/>
          <w:caps/>
          <w:szCs w:val="22"/>
        </w:rPr>
      </w:pPr>
      <w:r w:rsidRPr="00191D29">
        <w:rPr>
          <w:b/>
          <w:bCs/>
          <w:caps/>
          <w:szCs w:val="22"/>
        </w:rPr>
        <w:lastRenderedPageBreak/>
        <w:t>Annex 3</w:t>
      </w:r>
    </w:p>
    <w:p w14:paraId="26D949A9" w14:textId="77777777" w:rsidR="00B04B6E" w:rsidRPr="00191D29" w:rsidRDefault="00B04B6E" w:rsidP="00B04B6E">
      <w:pPr>
        <w:rPr>
          <w:b/>
          <w:bCs/>
          <w:caps/>
          <w:szCs w:val="22"/>
        </w:rPr>
      </w:pPr>
    </w:p>
    <w:p w14:paraId="78EBAEEF" w14:textId="428D6D9A" w:rsidR="00B04B6E" w:rsidRPr="00191D29" w:rsidRDefault="00B04B6E" w:rsidP="00B04B6E">
      <w:pPr>
        <w:jc w:val="center"/>
        <w:rPr>
          <w:b/>
          <w:bCs/>
          <w:caps/>
          <w:szCs w:val="22"/>
        </w:rPr>
      </w:pPr>
      <w:r w:rsidRPr="00191D29">
        <w:rPr>
          <w:b/>
          <w:bCs/>
          <w:caps/>
          <w:szCs w:val="22"/>
        </w:rPr>
        <w:t>Resolution MEPC.XXX(XX)</w:t>
      </w:r>
    </w:p>
    <w:p w14:paraId="04A2FF2A" w14:textId="77777777" w:rsidR="00B04B6E" w:rsidRPr="00191D29" w:rsidRDefault="00B04B6E" w:rsidP="00B04B6E">
      <w:pPr>
        <w:jc w:val="center"/>
        <w:rPr>
          <w:b/>
          <w:bCs/>
          <w:szCs w:val="22"/>
        </w:rPr>
      </w:pPr>
      <w:r w:rsidRPr="00191D29">
        <w:rPr>
          <w:b/>
          <w:bCs/>
          <w:caps/>
          <w:szCs w:val="22"/>
        </w:rPr>
        <w:t>(</w:t>
      </w:r>
      <w:r w:rsidRPr="00191D29">
        <w:rPr>
          <w:b/>
          <w:bCs/>
          <w:szCs w:val="22"/>
        </w:rPr>
        <w:t xml:space="preserve">Adopted on [same date as adoption of draft amendments for Establishment of Fund and Reward (Feebate) Mechanism, </w:t>
      </w:r>
      <w:r w:rsidRPr="000A6875">
        <w:rPr>
          <w:b/>
          <w:szCs w:val="22"/>
        </w:rPr>
        <w:t>Zero Emission Shipping Fund, and IMO (GHG) Maritime Sustainability Fu</w:t>
      </w:r>
      <w:r w:rsidRPr="00191D29">
        <w:rPr>
          <w:b/>
          <w:bCs/>
          <w:szCs w:val="22"/>
        </w:rPr>
        <w:t>nd])</w:t>
      </w:r>
    </w:p>
    <w:p w14:paraId="7C2396F1" w14:textId="77777777" w:rsidR="00B04B6E" w:rsidRPr="00191D29" w:rsidRDefault="00B04B6E" w:rsidP="00B04B6E">
      <w:pPr>
        <w:jc w:val="center"/>
        <w:rPr>
          <w:b/>
          <w:bCs/>
          <w:szCs w:val="22"/>
        </w:rPr>
      </w:pPr>
    </w:p>
    <w:p w14:paraId="7C628D97" w14:textId="77777777" w:rsidR="00B04B6E" w:rsidRPr="00191D29" w:rsidRDefault="00B04B6E" w:rsidP="00B04B6E">
      <w:pPr>
        <w:jc w:val="center"/>
        <w:rPr>
          <w:b/>
          <w:bCs/>
          <w:szCs w:val="22"/>
        </w:rPr>
      </w:pPr>
      <w:r w:rsidRPr="00191D29">
        <w:rPr>
          <w:szCs w:val="22"/>
        </w:rPr>
        <w:t>[To be completed….]</w:t>
      </w:r>
    </w:p>
    <w:p w14:paraId="6BDEC560" w14:textId="77777777" w:rsidR="00B04B6E" w:rsidRPr="00191D29" w:rsidRDefault="00B04B6E" w:rsidP="00B04B6E">
      <w:pPr>
        <w:rPr>
          <w:b/>
          <w:bCs/>
          <w:caps/>
          <w:szCs w:val="22"/>
        </w:rPr>
      </w:pPr>
    </w:p>
    <w:p w14:paraId="5C46E6E3" w14:textId="77777777" w:rsidR="00B04B6E" w:rsidRPr="00191D29" w:rsidRDefault="00B04B6E" w:rsidP="00B04B6E">
      <w:pPr>
        <w:jc w:val="center"/>
        <w:rPr>
          <w:b/>
          <w:bCs/>
          <w:caps/>
          <w:szCs w:val="22"/>
        </w:rPr>
      </w:pPr>
      <w:r w:rsidRPr="00191D29">
        <w:rPr>
          <w:b/>
          <w:bCs/>
          <w:caps/>
          <w:szCs w:val="22"/>
        </w:rPr>
        <w:t>ANNEX</w:t>
      </w:r>
    </w:p>
    <w:p w14:paraId="27148BC7" w14:textId="77777777" w:rsidR="00B04B6E" w:rsidRPr="00191D29" w:rsidRDefault="00B04B6E" w:rsidP="00B04B6E">
      <w:pPr>
        <w:jc w:val="center"/>
        <w:rPr>
          <w:b/>
          <w:bCs/>
          <w:caps/>
          <w:szCs w:val="22"/>
        </w:rPr>
      </w:pPr>
    </w:p>
    <w:p w14:paraId="5A4307B1" w14:textId="77777777" w:rsidR="00B04B6E" w:rsidRPr="00191D29" w:rsidRDefault="00B04B6E" w:rsidP="00B04B6E">
      <w:pPr>
        <w:jc w:val="center"/>
        <w:rPr>
          <w:b/>
          <w:bCs/>
          <w:caps/>
          <w:szCs w:val="22"/>
        </w:rPr>
      </w:pPr>
      <w:r w:rsidRPr="00191D29">
        <w:rPr>
          <w:b/>
          <w:bCs/>
          <w:caps/>
          <w:szCs w:val="22"/>
        </w:rPr>
        <w:t xml:space="preserve">contribution to AND REWARD FROM the </w:t>
      </w:r>
      <w:r w:rsidRPr="00191D29">
        <w:rPr>
          <w:b/>
          <w:bCs/>
          <w:caps/>
          <w:szCs w:val="22"/>
        </w:rPr>
        <w:br/>
        <w:t>Zero emission shipping Fund</w:t>
      </w:r>
    </w:p>
    <w:p w14:paraId="588AE632" w14:textId="77777777" w:rsidR="00B04B6E" w:rsidRPr="00191D29" w:rsidRDefault="00B04B6E" w:rsidP="00B04B6E">
      <w:pPr>
        <w:jc w:val="center"/>
        <w:rPr>
          <w:b/>
          <w:bCs/>
          <w:caps/>
          <w:szCs w:val="22"/>
        </w:rPr>
      </w:pPr>
    </w:p>
    <w:p w14:paraId="63ADDE49" w14:textId="3BC45065" w:rsidR="00B04B6E" w:rsidRPr="000A6875" w:rsidRDefault="00B04B6E" w:rsidP="00DE29DC">
      <w:pPr>
        <w:rPr>
          <w:b/>
          <w:bCs/>
          <w:caps/>
          <w:szCs w:val="22"/>
        </w:rPr>
      </w:pPr>
      <w:r w:rsidRPr="000A6875">
        <w:rPr>
          <w:b/>
          <w:bCs/>
          <w:caps/>
          <w:szCs w:val="22"/>
        </w:rPr>
        <w:t>[</w:t>
      </w:r>
      <w:r w:rsidRPr="000A6875">
        <w:rPr>
          <w:b/>
          <w:bCs/>
          <w:szCs w:val="22"/>
        </w:rPr>
        <w:t xml:space="preserve">NB: This </w:t>
      </w:r>
      <w:r w:rsidR="0084103E" w:rsidRPr="000A6875">
        <w:rPr>
          <w:b/>
          <w:bCs/>
          <w:szCs w:val="22"/>
        </w:rPr>
        <w:t xml:space="preserve">text </w:t>
      </w:r>
      <w:r w:rsidRPr="000A6875">
        <w:rPr>
          <w:b/>
          <w:bCs/>
          <w:szCs w:val="22"/>
        </w:rPr>
        <w:t xml:space="preserve">will need to be adjusted to reflect the </w:t>
      </w:r>
      <w:r w:rsidR="006B42CC" w:rsidRPr="000A6875">
        <w:rPr>
          <w:b/>
          <w:bCs/>
          <w:szCs w:val="22"/>
        </w:rPr>
        <w:t xml:space="preserve">exact description of </w:t>
      </w:r>
      <w:r w:rsidR="00E31B00" w:rsidRPr="000A6875">
        <w:rPr>
          <w:b/>
          <w:bCs/>
          <w:szCs w:val="22"/>
        </w:rPr>
        <w:t xml:space="preserve">these </w:t>
      </w:r>
      <w:r w:rsidR="006B42CC" w:rsidRPr="000A6875">
        <w:rPr>
          <w:b/>
          <w:bCs/>
          <w:szCs w:val="22"/>
        </w:rPr>
        <w:t>fuel types</w:t>
      </w:r>
      <w:r w:rsidR="009510D3" w:rsidRPr="000A6875">
        <w:rPr>
          <w:b/>
          <w:bCs/>
          <w:szCs w:val="22"/>
        </w:rPr>
        <w:t>, including</w:t>
      </w:r>
      <w:r w:rsidR="00D92207">
        <w:rPr>
          <w:b/>
          <w:bCs/>
          <w:szCs w:val="22"/>
        </w:rPr>
        <w:t xml:space="preserve"> </w:t>
      </w:r>
      <w:r w:rsidR="009510D3" w:rsidRPr="000A6875">
        <w:rPr>
          <w:b/>
          <w:bCs/>
          <w:szCs w:val="22"/>
        </w:rPr>
        <w:t xml:space="preserve">variants </w:t>
      </w:r>
      <w:r w:rsidR="00B72415">
        <w:rPr>
          <w:b/>
          <w:bCs/>
          <w:szCs w:val="22"/>
        </w:rPr>
        <w:t xml:space="preserve">of </w:t>
      </w:r>
      <w:r w:rsidR="00076F71">
        <w:rPr>
          <w:b/>
          <w:bCs/>
          <w:szCs w:val="22"/>
        </w:rPr>
        <w:t>these fuel</w:t>
      </w:r>
      <w:r w:rsidR="00320C67">
        <w:rPr>
          <w:b/>
          <w:bCs/>
          <w:szCs w:val="22"/>
        </w:rPr>
        <w:t xml:space="preserve"> types</w:t>
      </w:r>
      <w:r w:rsidR="000649EC">
        <w:rPr>
          <w:b/>
          <w:bCs/>
          <w:szCs w:val="22"/>
        </w:rPr>
        <w:t xml:space="preserve"> </w:t>
      </w:r>
      <w:r w:rsidR="00C13532">
        <w:rPr>
          <w:b/>
          <w:bCs/>
          <w:szCs w:val="22"/>
        </w:rPr>
        <w:t>(</w:t>
      </w:r>
      <w:r w:rsidR="000649EC">
        <w:rPr>
          <w:b/>
          <w:bCs/>
          <w:szCs w:val="22"/>
        </w:rPr>
        <w:t>including</w:t>
      </w:r>
      <w:r w:rsidR="00C13532">
        <w:rPr>
          <w:b/>
          <w:bCs/>
          <w:szCs w:val="22"/>
        </w:rPr>
        <w:t>,</w:t>
      </w:r>
      <w:r w:rsidR="000649EC">
        <w:rPr>
          <w:b/>
          <w:bCs/>
          <w:szCs w:val="22"/>
        </w:rPr>
        <w:t xml:space="preserve"> </w:t>
      </w:r>
      <w:r w:rsidR="00C13532">
        <w:rPr>
          <w:b/>
          <w:bCs/>
          <w:szCs w:val="22"/>
        </w:rPr>
        <w:t xml:space="preserve">for example, </w:t>
      </w:r>
      <w:r w:rsidR="00350BA5">
        <w:rPr>
          <w:b/>
          <w:bCs/>
          <w:szCs w:val="22"/>
        </w:rPr>
        <w:t xml:space="preserve">synthetic </w:t>
      </w:r>
      <w:r w:rsidR="00F66F8B">
        <w:rPr>
          <w:b/>
          <w:bCs/>
          <w:szCs w:val="22"/>
        </w:rPr>
        <w:t xml:space="preserve">versions of these </w:t>
      </w:r>
      <w:r w:rsidR="008F7710">
        <w:rPr>
          <w:b/>
          <w:bCs/>
          <w:szCs w:val="22"/>
        </w:rPr>
        <w:t>fuels</w:t>
      </w:r>
      <w:r w:rsidR="008F0BE3">
        <w:rPr>
          <w:b/>
          <w:bCs/>
          <w:szCs w:val="22"/>
        </w:rPr>
        <w:t xml:space="preserve"> and </w:t>
      </w:r>
      <w:r w:rsidR="00C13532">
        <w:rPr>
          <w:b/>
          <w:bCs/>
          <w:szCs w:val="22"/>
        </w:rPr>
        <w:t xml:space="preserve">different </w:t>
      </w:r>
      <w:r w:rsidR="00AE4DD6">
        <w:rPr>
          <w:b/>
          <w:bCs/>
          <w:szCs w:val="22"/>
        </w:rPr>
        <w:t xml:space="preserve">types of </w:t>
      </w:r>
      <w:r w:rsidR="008F0BE3">
        <w:rPr>
          <w:b/>
          <w:bCs/>
          <w:szCs w:val="22"/>
        </w:rPr>
        <w:t>biofuels</w:t>
      </w:r>
      <w:r w:rsidR="00AE4DD6">
        <w:rPr>
          <w:b/>
          <w:bCs/>
          <w:szCs w:val="22"/>
        </w:rPr>
        <w:t>)</w:t>
      </w:r>
      <w:r w:rsidR="00320C67">
        <w:rPr>
          <w:b/>
          <w:bCs/>
          <w:szCs w:val="22"/>
        </w:rPr>
        <w:t>,</w:t>
      </w:r>
      <w:r w:rsidR="006B42CC" w:rsidRPr="000A6875">
        <w:rPr>
          <w:b/>
          <w:bCs/>
          <w:szCs w:val="22"/>
        </w:rPr>
        <w:t xml:space="preserve"> </w:t>
      </w:r>
      <w:r w:rsidR="0045139E" w:rsidRPr="000A6875">
        <w:rPr>
          <w:b/>
          <w:bCs/>
          <w:szCs w:val="22"/>
        </w:rPr>
        <w:t>CO</w:t>
      </w:r>
      <w:r w:rsidR="0045139E" w:rsidRPr="000A6875">
        <w:rPr>
          <w:b/>
          <w:bCs/>
          <w:szCs w:val="22"/>
          <w:vertAlign w:val="subscript"/>
        </w:rPr>
        <w:t>2</w:t>
      </w:r>
      <w:r w:rsidR="0045139E" w:rsidRPr="000A6875">
        <w:rPr>
          <w:b/>
          <w:bCs/>
          <w:szCs w:val="22"/>
        </w:rPr>
        <w:t xml:space="preserve">e </w:t>
      </w:r>
      <w:r w:rsidRPr="000A6875">
        <w:rPr>
          <w:b/>
          <w:bCs/>
          <w:szCs w:val="22"/>
        </w:rPr>
        <w:t>conversion factors</w:t>
      </w:r>
      <w:r w:rsidR="00277751" w:rsidRPr="000A6875">
        <w:rPr>
          <w:b/>
          <w:bCs/>
          <w:szCs w:val="22"/>
        </w:rPr>
        <w:t xml:space="preserve"> and, as appropriate</w:t>
      </w:r>
      <w:r w:rsidR="006B42CC" w:rsidRPr="000A6875">
        <w:rPr>
          <w:b/>
          <w:bCs/>
          <w:szCs w:val="22"/>
        </w:rPr>
        <w:t>,</w:t>
      </w:r>
      <w:r w:rsidR="00277751" w:rsidRPr="000A6875">
        <w:rPr>
          <w:b/>
          <w:bCs/>
          <w:szCs w:val="22"/>
        </w:rPr>
        <w:t xml:space="preserve"> life-cycle emissions, </w:t>
      </w:r>
      <w:r w:rsidR="00DA360D" w:rsidRPr="000A6875">
        <w:rPr>
          <w:b/>
          <w:bCs/>
          <w:szCs w:val="22"/>
        </w:rPr>
        <w:t>as set out</w:t>
      </w:r>
      <w:r w:rsidRPr="000A6875">
        <w:rPr>
          <w:b/>
          <w:bCs/>
          <w:szCs w:val="22"/>
        </w:rPr>
        <w:t xml:space="preserve"> in </w:t>
      </w:r>
      <w:r w:rsidR="00891828" w:rsidRPr="000A6875">
        <w:rPr>
          <w:b/>
          <w:bCs/>
          <w:szCs w:val="22"/>
        </w:rPr>
        <w:t xml:space="preserve">the </w:t>
      </w:r>
      <w:r w:rsidRPr="000A6875">
        <w:rPr>
          <w:b/>
          <w:bCs/>
          <w:szCs w:val="22"/>
        </w:rPr>
        <w:t xml:space="preserve">latest iteration of </w:t>
      </w:r>
      <w:r w:rsidR="00DA360D" w:rsidRPr="000A6875">
        <w:rPr>
          <w:b/>
          <w:bCs/>
          <w:szCs w:val="22"/>
        </w:rPr>
        <w:t xml:space="preserve">the </w:t>
      </w:r>
      <w:r w:rsidRPr="000A6875">
        <w:rPr>
          <w:b/>
          <w:bCs/>
          <w:szCs w:val="22"/>
        </w:rPr>
        <w:t xml:space="preserve">LCA guidelines. </w:t>
      </w:r>
      <w:r w:rsidR="005B01DA" w:rsidRPr="000A6875">
        <w:rPr>
          <w:b/>
          <w:bCs/>
          <w:szCs w:val="22"/>
        </w:rPr>
        <w:t xml:space="preserve">ICS takes no view on </w:t>
      </w:r>
      <w:r w:rsidR="000A0A42" w:rsidRPr="000A6875">
        <w:rPr>
          <w:b/>
          <w:bCs/>
          <w:szCs w:val="22"/>
        </w:rPr>
        <w:t xml:space="preserve">what the quantum of the contribution </w:t>
      </w:r>
      <w:r w:rsidR="00BE4A84" w:rsidRPr="000A6875">
        <w:rPr>
          <w:b/>
          <w:bCs/>
          <w:szCs w:val="22"/>
        </w:rPr>
        <w:t xml:space="preserve">should be. </w:t>
      </w:r>
      <w:r w:rsidRPr="000A6875">
        <w:rPr>
          <w:b/>
          <w:bCs/>
          <w:szCs w:val="22"/>
        </w:rPr>
        <w:t>The rate</w:t>
      </w:r>
      <w:r w:rsidR="004A1D2F" w:rsidRPr="000A6875">
        <w:rPr>
          <w:b/>
          <w:bCs/>
          <w:szCs w:val="22"/>
        </w:rPr>
        <w:t>s</w:t>
      </w:r>
      <w:r w:rsidRPr="000A6875">
        <w:rPr>
          <w:b/>
          <w:bCs/>
          <w:szCs w:val="22"/>
        </w:rPr>
        <w:t xml:space="preserve"> of contribution shown </w:t>
      </w:r>
      <w:r w:rsidR="00B72992" w:rsidRPr="000A6875">
        <w:rPr>
          <w:b/>
          <w:bCs/>
          <w:szCs w:val="22"/>
        </w:rPr>
        <w:t>for liquid fuel oil</w:t>
      </w:r>
      <w:r w:rsidR="00C937D3">
        <w:rPr>
          <w:b/>
          <w:bCs/>
          <w:szCs w:val="22"/>
        </w:rPr>
        <w:t xml:space="preserve"> (based on dies</w:t>
      </w:r>
      <w:r w:rsidR="00F73C8B">
        <w:rPr>
          <w:b/>
          <w:bCs/>
          <w:szCs w:val="22"/>
        </w:rPr>
        <w:t xml:space="preserve">el/gas oil) </w:t>
      </w:r>
      <w:r w:rsidRPr="000A6875">
        <w:rPr>
          <w:b/>
          <w:bCs/>
          <w:szCs w:val="22"/>
        </w:rPr>
        <w:t>and the examples of zero/near-zero GHG fuels</w:t>
      </w:r>
      <w:r w:rsidR="00955C52" w:rsidRPr="000A6875">
        <w:rPr>
          <w:rStyle w:val="FootnoteReference"/>
          <w:b/>
          <w:bCs/>
          <w:szCs w:val="22"/>
        </w:rPr>
        <w:footnoteReference w:id="12"/>
      </w:r>
      <w:r w:rsidRPr="000A6875">
        <w:rPr>
          <w:b/>
          <w:bCs/>
          <w:szCs w:val="22"/>
        </w:rPr>
        <w:t xml:space="preserve"> </w:t>
      </w:r>
      <w:r w:rsidR="00F73C8B">
        <w:rPr>
          <w:b/>
          <w:bCs/>
          <w:szCs w:val="22"/>
        </w:rPr>
        <w:t xml:space="preserve">and </w:t>
      </w:r>
      <w:r w:rsidR="00D641DA">
        <w:rPr>
          <w:b/>
          <w:bCs/>
          <w:szCs w:val="22"/>
        </w:rPr>
        <w:t xml:space="preserve">technologies </w:t>
      </w:r>
      <w:r w:rsidR="00A950BA" w:rsidRPr="000A6875">
        <w:rPr>
          <w:b/>
          <w:bCs/>
          <w:szCs w:val="22"/>
        </w:rPr>
        <w:t xml:space="preserve">that may be eligible </w:t>
      </w:r>
      <w:r w:rsidR="002D0CCD" w:rsidRPr="000A6875">
        <w:rPr>
          <w:b/>
          <w:bCs/>
          <w:szCs w:val="22"/>
        </w:rPr>
        <w:t>for rewards</w:t>
      </w:r>
      <w:r w:rsidR="00B72992" w:rsidRPr="000A6875">
        <w:rPr>
          <w:b/>
          <w:bCs/>
          <w:szCs w:val="22"/>
        </w:rPr>
        <w:t>,</w:t>
      </w:r>
      <w:r w:rsidR="002D0CCD" w:rsidRPr="000A6875">
        <w:rPr>
          <w:b/>
          <w:bCs/>
          <w:szCs w:val="22"/>
        </w:rPr>
        <w:t xml:space="preserve"> </w:t>
      </w:r>
      <w:r w:rsidRPr="000A6875">
        <w:rPr>
          <w:b/>
          <w:bCs/>
          <w:szCs w:val="22"/>
        </w:rPr>
        <w:t xml:space="preserve">are </w:t>
      </w:r>
      <w:r w:rsidR="00982494" w:rsidRPr="000A6875">
        <w:rPr>
          <w:b/>
          <w:bCs/>
          <w:szCs w:val="22"/>
        </w:rPr>
        <w:t xml:space="preserve">based on existing </w:t>
      </w:r>
      <w:r w:rsidR="002D0CCD" w:rsidRPr="000A6875">
        <w:rPr>
          <w:b/>
          <w:bCs/>
          <w:szCs w:val="22"/>
        </w:rPr>
        <w:t xml:space="preserve">IMO </w:t>
      </w:r>
      <w:r w:rsidR="00982494" w:rsidRPr="000A6875">
        <w:rPr>
          <w:b/>
          <w:bCs/>
          <w:szCs w:val="22"/>
        </w:rPr>
        <w:t xml:space="preserve">guidelines and </w:t>
      </w:r>
      <w:r w:rsidR="00EE0F44" w:rsidRPr="000A6875">
        <w:rPr>
          <w:b/>
          <w:bCs/>
          <w:szCs w:val="22"/>
        </w:rPr>
        <w:t xml:space="preserve">are </w:t>
      </w:r>
      <w:r w:rsidRPr="000A6875">
        <w:rPr>
          <w:b/>
          <w:bCs/>
          <w:szCs w:val="22"/>
        </w:rPr>
        <w:t>for illustrative purposes only</w:t>
      </w:r>
      <w:r w:rsidRPr="000A6875">
        <w:rPr>
          <w:rStyle w:val="FootnoteReference"/>
          <w:b/>
          <w:bCs/>
          <w:szCs w:val="22"/>
        </w:rPr>
        <w:footnoteReference w:id="13"/>
      </w:r>
      <w:r w:rsidR="007F06E2">
        <w:rPr>
          <w:b/>
          <w:bCs/>
          <w:szCs w:val="22"/>
        </w:rPr>
        <w:t xml:space="preserve">. </w:t>
      </w:r>
      <w:r w:rsidR="00A1294D">
        <w:rPr>
          <w:b/>
          <w:bCs/>
          <w:szCs w:val="22"/>
        </w:rPr>
        <w:t xml:space="preserve">The </w:t>
      </w:r>
      <w:r w:rsidR="007F06E2">
        <w:rPr>
          <w:b/>
          <w:bCs/>
          <w:szCs w:val="22"/>
        </w:rPr>
        <w:t>list of eligible</w:t>
      </w:r>
      <w:r w:rsidR="007F65B4">
        <w:rPr>
          <w:b/>
          <w:bCs/>
          <w:szCs w:val="22"/>
        </w:rPr>
        <w:t xml:space="preserve"> fuels</w:t>
      </w:r>
      <w:r w:rsidR="00F2058D">
        <w:rPr>
          <w:b/>
          <w:bCs/>
          <w:szCs w:val="22"/>
        </w:rPr>
        <w:t>, energy sources</w:t>
      </w:r>
      <w:r w:rsidR="007F65B4">
        <w:rPr>
          <w:b/>
          <w:bCs/>
          <w:szCs w:val="22"/>
        </w:rPr>
        <w:t xml:space="preserve"> and technologies </w:t>
      </w:r>
      <w:r w:rsidR="00A1294D">
        <w:rPr>
          <w:b/>
          <w:bCs/>
          <w:szCs w:val="22"/>
        </w:rPr>
        <w:t xml:space="preserve">that may be eligible for rewards </w:t>
      </w:r>
      <w:r w:rsidR="007F65B4">
        <w:rPr>
          <w:b/>
          <w:bCs/>
          <w:szCs w:val="22"/>
        </w:rPr>
        <w:t xml:space="preserve">will </w:t>
      </w:r>
      <w:r w:rsidR="002C62C5">
        <w:rPr>
          <w:b/>
          <w:bCs/>
          <w:szCs w:val="22"/>
        </w:rPr>
        <w:t xml:space="preserve">need to </w:t>
      </w:r>
      <w:r w:rsidR="007F65B4">
        <w:rPr>
          <w:b/>
          <w:bCs/>
          <w:szCs w:val="22"/>
        </w:rPr>
        <w:t>be expan</w:t>
      </w:r>
      <w:r w:rsidR="00F2058D">
        <w:rPr>
          <w:b/>
          <w:bCs/>
          <w:szCs w:val="22"/>
        </w:rPr>
        <w:t>ded</w:t>
      </w:r>
      <w:r w:rsidR="00E75297">
        <w:rPr>
          <w:b/>
          <w:bCs/>
          <w:szCs w:val="22"/>
        </w:rPr>
        <w:t xml:space="preserve"> </w:t>
      </w:r>
      <w:r w:rsidR="00CF2BFC">
        <w:rPr>
          <w:b/>
          <w:bCs/>
          <w:szCs w:val="22"/>
        </w:rPr>
        <w:t xml:space="preserve">and </w:t>
      </w:r>
      <w:r w:rsidR="00E75297">
        <w:rPr>
          <w:b/>
          <w:bCs/>
          <w:szCs w:val="22"/>
        </w:rPr>
        <w:t xml:space="preserve">this proposal is intended to be </w:t>
      </w:r>
      <w:r w:rsidR="0037779E">
        <w:rPr>
          <w:b/>
          <w:bCs/>
          <w:szCs w:val="22"/>
        </w:rPr>
        <w:t xml:space="preserve">fuel and technology </w:t>
      </w:r>
      <w:r w:rsidR="00E75297">
        <w:rPr>
          <w:b/>
          <w:bCs/>
          <w:szCs w:val="22"/>
        </w:rPr>
        <w:t>neutral</w:t>
      </w:r>
      <w:r w:rsidR="00110594">
        <w:rPr>
          <w:b/>
          <w:bCs/>
          <w:szCs w:val="22"/>
        </w:rPr>
        <w:t>.</w:t>
      </w:r>
      <w:r w:rsidR="009727DF">
        <w:rPr>
          <w:b/>
          <w:bCs/>
          <w:szCs w:val="22"/>
        </w:rPr>
        <w:t>]</w:t>
      </w:r>
    </w:p>
    <w:p w14:paraId="2035735C" w14:textId="77777777" w:rsidR="00B04B6E" w:rsidRPr="00191D29" w:rsidRDefault="00B04B6E" w:rsidP="00B04B6E">
      <w:pPr>
        <w:rPr>
          <w:b/>
          <w:bCs/>
          <w:szCs w:val="22"/>
        </w:rPr>
      </w:pPr>
    </w:p>
    <w:p w14:paraId="3D9745EC" w14:textId="77777777" w:rsidR="00B04B6E" w:rsidRPr="00191D29" w:rsidRDefault="00B04B6E" w:rsidP="00B04B6E">
      <w:pPr>
        <w:rPr>
          <w:b/>
          <w:bCs/>
          <w:i/>
          <w:iCs/>
          <w:szCs w:val="22"/>
          <w:lang w:eastAsia="ja-JP"/>
        </w:rPr>
      </w:pPr>
      <w:r w:rsidRPr="00191D29">
        <w:rPr>
          <w:b/>
          <w:bCs/>
          <w:i/>
          <w:iCs/>
          <w:szCs w:val="22"/>
          <w:lang w:eastAsia="ja-JP"/>
        </w:rPr>
        <w:t xml:space="preserve">Contribution to the Zero Emission Shipping Fund </w:t>
      </w:r>
    </w:p>
    <w:p w14:paraId="6F623CBB" w14:textId="77777777" w:rsidR="00B04B6E" w:rsidRPr="00191D29" w:rsidRDefault="00B04B6E" w:rsidP="00B04B6E">
      <w:pPr>
        <w:rPr>
          <w:b/>
          <w:bCs/>
          <w:szCs w:val="22"/>
        </w:rPr>
      </w:pPr>
    </w:p>
    <w:p w14:paraId="26C0D582" w14:textId="77777777" w:rsidR="00B04B6E" w:rsidRPr="00191D29" w:rsidRDefault="00B04B6E" w:rsidP="00B04B6E">
      <w:pPr>
        <w:rPr>
          <w:szCs w:val="22"/>
        </w:rPr>
      </w:pPr>
      <w:r w:rsidRPr="00191D29">
        <w:rPr>
          <w:szCs w:val="22"/>
        </w:rPr>
        <w:t>1</w:t>
      </w:r>
      <w:r w:rsidRPr="00191D29">
        <w:rPr>
          <w:szCs w:val="22"/>
        </w:rPr>
        <w:tab/>
        <w:t>Pursuant to regulation 35.1 of MARPOL Annex VI, the contribution made to the Zero Emission Shipping Fund for each ship shall be calculated as follows:</w:t>
      </w:r>
    </w:p>
    <w:p w14:paraId="4ECBB491" w14:textId="77777777" w:rsidR="00B04B6E" w:rsidRPr="00191D29" w:rsidRDefault="00B04B6E" w:rsidP="00B04B6E">
      <w:pPr>
        <w:rPr>
          <w:szCs w:val="22"/>
        </w:rPr>
      </w:pPr>
    </w:p>
    <w:p w14:paraId="77DAFE6E" w14:textId="5DACE172" w:rsidR="00B04B6E" w:rsidRPr="00191D29" w:rsidRDefault="00B04B6E" w:rsidP="00B04B6E">
      <w:pPr>
        <w:tabs>
          <w:tab w:val="left" w:pos="3119"/>
        </w:tabs>
        <w:ind w:left="851"/>
        <w:rPr>
          <w:szCs w:val="22"/>
        </w:rPr>
      </w:pPr>
      <w:r w:rsidRPr="00191D29">
        <w:rPr>
          <w:b/>
          <w:bCs/>
          <w:szCs w:val="22"/>
        </w:rPr>
        <w:t>Rate of contribution</w:t>
      </w:r>
      <w:r w:rsidRPr="00191D29">
        <w:rPr>
          <w:szCs w:val="22"/>
        </w:rPr>
        <w:t xml:space="preserve">: </w:t>
      </w:r>
      <w:r w:rsidRPr="00191D29">
        <w:rPr>
          <w:szCs w:val="22"/>
        </w:rPr>
        <w:tab/>
      </w:r>
      <w:r w:rsidRPr="00191D29">
        <w:rPr>
          <w:b/>
          <w:bCs/>
          <w:szCs w:val="22"/>
        </w:rPr>
        <w:t>US$</w:t>
      </w:r>
      <w:r w:rsidR="003B3E28" w:rsidRPr="00191D29">
        <w:rPr>
          <w:b/>
          <w:bCs/>
          <w:szCs w:val="22"/>
        </w:rPr>
        <w:t>[100</w:t>
      </w:r>
      <w:r w:rsidRPr="00191D29">
        <w:rPr>
          <w:b/>
          <w:bCs/>
          <w:szCs w:val="22"/>
        </w:rPr>
        <w:t>] per tonne of CO</w:t>
      </w:r>
      <w:r w:rsidRPr="00191D29">
        <w:rPr>
          <w:b/>
          <w:bCs/>
          <w:szCs w:val="22"/>
          <w:vertAlign w:val="subscript"/>
        </w:rPr>
        <w:t>2</w:t>
      </w:r>
      <w:r w:rsidRPr="00191D29">
        <w:rPr>
          <w:b/>
          <w:bCs/>
          <w:szCs w:val="22"/>
        </w:rPr>
        <w:t>e emitted by the ship</w:t>
      </w:r>
    </w:p>
    <w:p w14:paraId="275FC769" w14:textId="77777777" w:rsidR="00B04B6E" w:rsidRPr="00191D29" w:rsidRDefault="00B04B6E" w:rsidP="00B04B6E">
      <w:pPr>
        <w:tabs>
          <w:tab w:val="left" w:pos="3119"/>
        </w:tabs>
        <w:ind w:left="851" w:hanging="3119"/>
        <w:rPr>
          <w:szCs w:val="22"/>
        </w:rPr>
      </w:pPr>
    </w:p>
    <w:p w14:paraId="327A8121" w14:textId="78CCB725" w:rsidR="00FC3173" w:rsidRPr="000A6875" w:rsidRDefault="00B04B6E" w:rsidP="00FC3173">
      <w:pPr>
        <w:ind w:left="851"/>
        <w:rPr>
          <w:strike/>
          <w:szCs w:val="22"/>
          <w:lang w:eastAsia="ja-JP"/>
        </w:rPr>
      </w:pPr>
      <w:r w:rsidRPr="00191D29">
        <w:rPr>
          <w:szCs w:val="22"/>
          <w:u w:val="single"/>
        </w:rPr>
        <w:t xml:space="preserve">For </w:t>
      </w:r>
      <w:r w:rsidR="002F6463" w:rsidRPr="00191D29">
        <w:rPr>
          <w:szCs w:val="22"/>
          <w:u w:val="single"/>
        </w:rPr>
        <w:t>L</w:t>
      </w:r>
      <w:r w:rsidRPr="00191D29">
        <w:rPr>
          <w:szCs w:val="22"/>
          <w:u w:val="single"/>
        </w:rPr>
        <w:t xml:space="preserve">iquid </w:t>
      </w:r>
      <w:r w:rsidR="002F6463" w:rsidRPr="00191D29">
        <w:rPr>
          <w:szCs w:val="22"/>
          <w:u w:val="single"/>
        </w:rPr>
        <w:t>F</w:t>
      </w:r>
      <w:r w:rsidRPr="00191D29">
        <w:rPr>
          <w:szCs w:val="22"/>
          <w:u w:val="single"/>
        </w:rPr>
        <w:t xml:space="preserve">uel </w:t>
      </w:r>
      <w:r w:rsidR="002F6463" w:rsidRPr="00191D29">
        <w:rPr>
          <w:szCs w:val="22"/>
          <w:u w:val="single"/>
        </w:rPr>
        <w:t>O</w:t>
      </w:r>
      <w:r w:rsidRPr="00191D29">
        <w:rPr>
          <w:szCs w:val="22"/>
          <w:u w:val="single"/>
        </w:rPr>
        <w:t>il</w:t>
      </w:r>
      <w:r w:rsidRPr="00191D29">
        <w:rPr>
          <w:szCs w:val="22"/>
        </w:rPr>
        <w:t xml:space="preserve"> including Diesel/Gas Oil, Light Fuel Oil (LFO) and Heavy Fuel Oil (HFO):</w:t>
      </w:r>
      <w:r w:rsidRPr="00191D29">
        <w:rPr>
          <w:rStyle w:val="FootnoteReference"/>
          <w:szCs w:val="22"/>
        </w:rPr>
        <w:footnoteReference w:id="14"/>
      </w:r>
      <w:r w:rsidRPr="00191D29">
        <w:rPr>
          <w:szCs w:val="22"/>
        </w:rPr>
        <w:t xml:space="preserve"> equivalent to US$</w:t>
      </w:r>
      <w:r w:rsidR="008F7500" w:rsidRPr="00191D29">
        <w:rPr>
          <w:szCs w:val="22"/>
        </w:rPr>
        <w:t>[320</w:t>
      </w:r>
      <w:r w:rsidR="000A6831" w:rsidRPr="00191D29">
        <w:rPr>
          <w:szCs w:val="22"/>
        </w:rPr>
        <w:t>]</w:t>
      </w:r>
      <w:r w:rsidRPr="00191D29">
        <w:rPr>
          <w:szCs w:val="22"/>
        </w:rPr>
        <w:t xml:space="preserve"> per tonne of liquid fuel oil consumed by the ship</w:t>
      </w:r>
      <w:r w:rsidR="00DD298F" w:rsidRPr="00DD298F">
        <w:rPr>
          <w:szCs w:val="22"/>
        </w:rPr>
        <w:t xml:space="preserve"> </w:t>
      </w:r>
      <w:r w:rsidR="00DD298F" w:rsidRPr="000A6875">
        <w:rPr>
          <w:szCs w:val="22"/>
        </w:rPr>
        <w:t>based on a CO</w:t>
      </w:r>
      <w:r w:rsidR="00DD298F" w:rsidRPr="000A6875">
        <w:rPr>
          <w:szCs w:val="22"/>
          <w:vertAlign w:val="subscript"/>
        </w:rPr>
        <w:t>2</w:t>
      </w:r>
      <w:r w:rsidR="00DD298F" w:rsidRPr="000A6875">
        <w:rPr>
          <w:szCs w:val="22"/>
        </w:rPr>
        <w:t xml:space="preserve">e conversion factor of </w:t>
      </w:r>
      <w:r w:rsidR="00FC3173">
        <w:rPr>
          <w:szCs w:val="22"/>
        </w:rPr>
        <w:t>[</w:t>
      </w:r>
      <w:r w:rsidR="00DD298F">
        <w:rPr>
          <w:szCs w:val="22"/>
        </w:rPr>
        <w:t>3.2</w:t>
      </w:r>
      <w:r w:rsidR="00DD298F" w:rsidRPr="000A6875">
        <w:rPr>
          <w:szCs w:val="22"/>
        </w:rPr>
        <w:t>]</w:t>
      </w:r>
      <w:r w:rsidR="00FC3173">
        <w:rPr>
          <w:szCs w:val="22"/>
        </w:rPr>
        <w:t xml:space="preserve"> </w:t>
      </w:r>
      <w:r w:rsidR="00FC3173" w:rsidRPr="000A6875">
        <w:rPr>
          <w:szCs w:val="22"/>
        </w:rPr>
        <w:t xml:space="preserve">and an </w:t>
      </w:r>
      <w:r w:rsidR="00FC3173" w:rsidRPr="000A6875">
        <w:rPr>
          <w:szCs w:val="22"/>
          <w:lang w:eastAsia="ja-JP"/>
        </w:rPr>
        <w:t xml:space="preserve">energy density ratio by mass compared to diesel/gas oil of </w:t>
      </w:r>
      <w:r w:rsidR="00292787">
        <w:rPr>
          <w:szCs w:val="22"/>
          <w:lang w:eastAsia="ja-JP"/>
        </w:rPr>
        <w:t>100</w:t>
      </w:r>
      <w:r w:rsidR="00FC3173" w:rsidRPr="000A6875">
        <w:rPr>
          <w:szCs w:val="22"/>
          <w:lang w:eastAsia="ja-JP"/>
        </w:rPr>
        <w:t xml:space="preserve"> per cent</w:t>
      </w:r>
      <w:r w:rsidR="00292787">
        <w:rPr>
          <w:szCs w:val="22"/>
          <w:lang w:eastAsia="ja-JP"/>
        </w:rPr>
        <w:t>.</w:t>
      </w:r>
    </w:p>
    <w:p w14:paraId="48F6D611" w14:textId="77777777" w:rsidR="00B04B6E" w:rsidRPr="00191D29" w:rsidRDefault="00B04B6E" w:rsidP="00292787">
      <w:pPr>
        <w:rPr>
          <w:szCs w:val="22"/>
        </w:rPr>
      </w:pPr>
    </w:p>
    <w:p w14:paraId="2EA6B811" w14:textId="36FE2F6D" w:rsidR="007E3FFE" w:rsidRPr="000A6875" w:rsidRDefault="00B04B6E" w:rsidP="007E3FFE">
      <w:pPr>
        <w:ind w:left="851"/>
        <w:rPr>
          <w:strike/>
          <w:szCs w:val="22"/>
          <w:lang w:eastAsia="ja-JP"/>
        </w:rPr>
      </w:pPr>
      <w:r w:rsidRPr="00191D29">
        <w:rPr>
          <w:szCs w:val="22"/>
          <w:u w:val="single"/>
        </w:rPr>
        <w:t>For LPG</w:t>
      </w:r>
      <w:r w:rsidRPr="00191D29">
        <w:rPr>
          <w:szCs w:val="22"/>
        </w:rPr>
        <w:t>:</w:t>
      </w:r>
      <w:r w:rsidRPr="00191D29">
        <w:rPr>
          <w:rStyle w:val="FootnoteReference"/>
          <w:szCs w:val="22"/>
        </w:rPr>
        <w:footnoteReference w:id="15"/>
      </w:r>
      <w:r w:rsidRPr="00191D29">
        <w:rPr>
          <w:szCs w:val="22"/>
        </w:rPr>
        <w:t xml:space="preserve"> equivalent to US$</w:t>
      </w:r>
      <w:r w:rsidR="000A6831" w:rsidRPr="00191D29">
        <w:rPr>
          <w:szCs w:val="22"/>
        </w:rPr>
        <w:t>[</w:t>
      </w:r>
      <w:r w:rsidR="00982494" w:rsidRPr="00191D29">
        <w:rPr>
          <w:szCs w:val="22"/>
        </w:rPr>
        <w:t>…</w:t>
      </w:r>
      <w:r w:rsidR="000A6831" w:rsidRPr="00191D29">
        <w:rPr>
          <w:szCs w:val="22"/>
        </w:rPr>
        <w:t>]</w:t>
      </w:r>
      <w:r w:rsidRPr="00191D29">
        <w:rPr>
          <w:szCs w:val="22"/>
        </w:rPr>
        <w:t xml:space="preserve"> per tonne of LPG consumed by the ship</w:t>
      </w:r>
      <w:r w:rsidR="007E3FFE" w:rsidRPr="00191D29">
        <w:rPr>
          <w:szCs w:val="22"/>
        </w:rPr>
        <w:t xml:space="preserve">, </w:t>
      </w:r>
      <w:r w:rsidR="007E3FFE" w:rsidRPr="000A6875">
        <w:rPr>
          <w:szCs w:val="22"/>
        </w:rPr>
        <w:t>based on a CO</w:t>
      </w:r>
      <w:r w:rsidR="007E3FFE" w:rsidRPr="000A6875">
        <w:rPr>
          <w:szCs w:val="22"/>
          <w:vertAlign w:val="subscript"/>
        </w:rPr>
        <w:t>2</w:t>
      </w:r>
      <w:r w:rsidR="007E3FFE" w:rsidRPr="000A6875">
        <w:rPr>
          <w:szCs w:val="22"/>
        </w:rPr>
        <w:t>e conversion factor of [</w:t>
      </w:r>
      <w:r w:rsidR="00A52DC4" w:rsidRPr="000A6875">
        <w:rPr>
          <w:szCs w:val="22"/>
        </w:rPr>
        <w:t>…</w:t>
      </w:r>
      <w:r w:rsidR="007E3FFE" w:rsidRPr="000A6875">
        <w:rPr>
          <w:szCs w:val="22"/>
        </w:rPr>
        <w:t xml:space="preserve">] and an </w:t>
      </w:r>
      <w:r w:rsidR="007E3FFE" w:rsidRPr="000A6875">
        <w:rPr>
          <w:szCs w:val="22"/>
          <w:lang w:eastAsia="ja-JP"/>
        </w:rPr>
        <w:t>energy density ratio by mass compared to diesel/gas oil</w:t>
      </w:r>
      <w:r w:rsidR="00DC5EDD" w:rsidRPr="000A6875">
        <w:rPr>
          <w:szCs w:val="22"/>
          <w:lang w:eastAsia="ja-JP"/>
        </w:rPr>
        <w:t xml:space="preserve"> of</w:t>
      </w:r>
      <w:r w:rsidR="007E3FFE" w:rsidRPr="000A6875">
        <w:rPr>
          <w:szCs w:val="22"/>
          <w:lang w:eastAsia="ja-JP"/>
        </w:rPr>
        <w:t xml:space="preserve"> […] per cent</w:t>
      </w:r>
    </w:p>
    <w:p w14:paraId="6A27ED04" w14:textId="77777777" w:rsidR="00B04B6E" w:rsidRPr="00191D29" w:rsidRDefault="00B04B6E" w:rsidP="00DE29DC">
      <w:pPr>
        <w:rPr>
          <w:szCs w:val="22"/>
        </w:rPr>
      </w:pPr>
    </w:p>
    <w:p w14:paraId="57DA2E8F" w14:textId="506E37A5" w:rsidR="005725D2" w:rsidRPr="000A6875" w:rsidRDefault="00B04B6E" w:rsidP="005725D2">
      <w:pPr>
        <w:ind w:left="851"/>
        <w:rPr>
          <w:strike/>
          <w:szCs w:val="22"/>
          <w:lang w:eastAsia="ja-JP"/>
        </w:rPr>
      </w:pPr>
      <w:r w:rsidRPr="00191D29">
        <w:rPr>
          <w:u w:val="single"/>
        </w:rPr>
        <w:t>For LNG</w:t>
      </w:r>
      <w:r w:rsidRPr="00191D29">
        <w:rPr>
          <w:szCs w:val="22"/>
        </w:rPr>
        <w:t>: equivalent to US</w:t>
      </w:r>
      <w:r w:rsidR="00353974" w:rsidRPr="00191D29">
        <w:rPr>
          <w:szCs w:val="22"/>
        </w:rPr>
        <w:t>$</w:t>
      </w:r>
      <w:r w:rsidR="000A6831" w:rsidRPr="00191D29">
        <w:rPr>
          <w:szCs w:val="22"/>
        </w:rPr>
        <w:t>[</w:t>
      </w:r>
      <w:r w:rsidR="00982494" w:rsidRPr="00191D29">
        <w:rPr>
          <w:szCs w:val="22"/>
        </w:rPr>
        <w:t>…</w:t>
      </w:r>
      <w:r w:rsidRPr="00191D29">
        <w:rPr>
          <w:szCs w:val="22"/>
        </w:rPr>
        <w:t>] per tonne of LNG consumed by the ship</w:t>
      </w:r>
      <w:r w:rsidR="005725D2" w:rsidRPr="00191D29">
        <w:rPr>
          <w:szCs w:val="22"/>
        </w:rPr>
        <w:t>,</w:t>
      </w:r>
      <w:r w:rsidR="005725D2" w:rsidRPr="000A6875">
        <w:rPr>
          <w:szCs w:val="22"/>
        </w:rPr>
        <w:t xml:space="preserve"> based on a CO</w:t>
      </w:r>
      <w:r w:rsidR="005725D2" w:rsidRPr="000A6875">
        <w:rPr>
          <w:szCs w:val="22"/>
          <w:vertAlign w:val="subscript"/>
        </w:rPr>
        <w:t>2</w:t>
      </w:r>
      <w:r w:rsidR="005725D2" w:rsidRPr="000A6875">
        <w:rPr>
          <w:szCs w:val="22"/>
        </w:rPr>
        <w:t>e conversion factor of [</w:t>
      </w:r>
      <w:r w:rsidR="00A52DC4" w:rsidRPr="000A6875">
        <w:rPr>
          <w:szCs w:val="22"/>
        </w:rPr>
        <w:t>…</w:t>
      </w:r>
      <w:r w:rsidR="005725D2" w:rsidRPr="000A6875">
        <w:rPr>
          <w:szCs w:val="22"/>
        </w:rPr>
        <w:t xml:space="preserve">] and an </w:t>
      </w:r>
      <w:r w:rsidR="005725D2" w:rsidRPr="000A6875">
        <w:rPr>
          <w:szCs w:val="22"/>
          <w:lang w:eastAsia="ja-JP"/>
        </w:rPr>
        <w:t xml:space="preserve">energy density ratio by mass compared to diesel/gas oil </w:t>
      </w:r>
      <w:r w:rsidR="00DC5EDD" w:rsidRPr="000A6875">
        <w:rPr>
          <w:szCs w:val="22"/>
          <w:lang w:eastAsia="ja-JP"/>
        </w:rPr>
        <w:t xml:space="preserve">of </w:t>
      </w:r>
      <w:r w:rsidR="005725D2" w:rsidRPr="000A6875">
        <w:rPr>
          <w:szCs w:val="22"/>
          <w:lang w:eastAsia="ja-JP"/>
        </w:rPr>
        <w:t>[…] per cent</w:t>
      </w:r>
    </w:p>
    <w:p w14:paraId="19D3EC11" w14:textId="77777777" w:rsidR="00B04B6E" w:rsidRPr="00191D29" w:rsidRDefault="00B04B6E" w:rsidP="00DE29DC">
      <w:pPr>
        <w:rPr>
          <w:szCs w:val="22"/>
        </w:rPr>
      </w:pPr>
    </w:p>
    <w:p w14:paraId="49A5FD7E" w14:textId="2F59A6FC" w:rsidR="005725D2" w:rsidRPr="000A6875" w:rsidRDefault="006A4A5D" w:rsidP="005725D2">
      <w:pPr>
        <w:ind w:left="851"/>
        <w:rPr>
          <w:strike/>
          <w:szCs w:val="22"/>
          <w:lang w:eastAsia="ja-JP"/>
        </w:rPr>
      </w:pPr>
      <w:r w:rsidRPr="00191D29">
        <w:rPr>
          <w:szCs w:val="22"/>
          <w:u w:val="single"/>
        </w:rPr>
        <w:t>For Bio-diesel</w:t>
      </w:r>
      <w:r w:rsidRPr="00191D29">
        <w:rPr>
          <w:szCs w:val="22"/>
        </w:rPr>
        <w:t>: equivalent to US$</w:t>
      </w:r>
      <w:r w:rsidR="001B544C" w:rsidRPr="00191D29">
        <w:rPr>
          <w:szCs w:val="22"/>
        </w:rPr>
        <w:t>[</w:t>
      </w:r>
      <w:r w:rsidR="009D64F8" w:rsidRPr="00191D29">
        <w:rPr>
          <w:szCs w:val="22"/>
        </w:rPr>
        <w:t>…</w:t>
      </w:r>
      <w:r w:rsidRPr="00191D29">
        <w:rPr>
          <w:szCs w:val="22"/>
        </w:rPr>
        <w:t>] per tonne of bio-diesel consumed by the ship</w:t>
      </w:r>
      <w:r w:rsidR="005725D2" w:rsidRPr="00191D29">
        <w:rPr>
          <w:szCs w:val="22"/>
        </w:rPr>
        <w:t xml:space="preserve">, </w:t>
      </w:r>
      <w:r w:rsidR="005725D2" w:rsidRPr="000A6875">
        <w:rPr>
          <w:szCs w:val="22"/>
        </w:rPr>
        <w:t>based on a CO</w:t>
      </w:r>
      <w:r w:rsidR="005725D2" w:rsidRPr="000A6875">
        <w:rPr>
          <w:szCs w:val="22"/>
          <w:vertAlign w:val="subscript"/>
        </w:rPr>
        <w:t>2</w:t>
      </w:r>
      <w:r w:rsidR="005725D2" w:rsidRPr="000A6875">
        <w:rPr>
          <w:szCs w:val="22"/>
        </w:rPr>
        <w:t>e conversion factor of [</w:t>
      </w:r>
      <w:r w:rsidR="00A52DC4" w:rsidRPr="000A6875">
        <w:rPr>
          <w:szCs w:val="22"/>
        </w:rPr>
        <w:t>…</w:t>
      </w:r>
      <w:r w:rsidR="005725D2" w:rsidRPr="000A6875">
        <w:rPr>
          <w:szCs w:val="22"/>
        </w:rPr>
        <w:t xml:space="preserve">] and an </w:t>
      </w:r>
      <w:r w:rsidR="005725D2" w:rsidRPr="000A6875">
        <w:rPr>
          <w:szCs w:val="22"/>
          <w:lang w:eastAsia="ja-JP"/>
        </w:rPr>
        <w:t xml:space="preserve">energy density ratio by mass compared to diesel/gas oil </w:t>
      </w:r>
      <w:r w:rsidR="00DC5EDD" w:rsidRPr="000A6875">
        <w:rPr>
          <w:szCs w:val="22"/>
          <w:lang w:eastAsia="ja-JP"/>
        </w:rPr>
        <w:t xml:space="preserve">of </w:t>
      </w:r>
      <w:r w:rsidR="005725D2" w:rsidRPr="000A6875">
        <w:rPr>
          <w:szCs w:val="22"/>
          <w:lang w:eastAsia="ja-JP"/>
        </w:rPr>
        <w:t>[…] per cent</w:t>
      </w:r>
    </w:p>
    <w:p w14:paraId="7DAB032B" w14:textId="78508095" w:rsidR="006A4A5D" w:rsidRPr="00191D29" w:rsidRDefault="00AF59D1" w:rsidP="00DE29DC">
      <w:pPr>
        <w:rPr>
          <w:szCs w:val="22"/>
          <w:u w:val="single"/>
        </w:rPr>
      </w:pPr>
      <w:r w:rsidRPr="00191D29">
        <w:rPr>
          <w:szCs w:val="22"/>
          <w:u w:val="single"/>
        </w:rPr>
        <w:lastRenderedPageBreak/>
        <w:t xml:space="preserve"> </w:t>
      </w:r>
    </w:p>
    <w:p w14:paraId="60BC9461" w14:textId="1D67D68F" w:rsidR="00DC5EDD" w:rsidRPr="000A6875" w:rsidRDefault="00B04B6E" w:rsidP="00DC5EDD">
      <w:pPr>
        <w:ind w:left="851"/>
        <w:rPr>
          <w:strike/>
          <w:szCs w:val="22"/>
          <w:lang w:eastAsia="ja-JP"/>
        </w:rPr>
      </w:pPr>
      <w:r w:rsidRPr="00191D29">
        <w:rPr>
          <w:szCs w:val="22"/>
          <w:u w:val="single"/>
        </w:rPr>
        <w:t xml:space="preserve">For </w:t>
      </w:r>
      <w:r w:rsidR="000477F9" w:rsidRPr="00191D29">
        <w:rPr>
          <w:szCs w:val="22"/>
          <w:u w:val="single"/>
        </w:rPr>
        <w:t>M</w:t>
      </w:r>
      <w:r w:rsidRPr="00191D29">
        <w:rPr>
          <w:szCs w:val="22"/>
          <w:u w:val="single"/>
        </w:rPr>
        <w:t>ethanol</w:t>
      </w:r>
      <w:r w:rsidRPr="00191D29">
        <w:rPr>
          <w:szCs w:val="22"/>
        </w:rPr>
        <w:t>: equivalent to US$</w:t>
      </w:r>
      <w:r w:rsidR="00F10274" w:rsidRPr="00191D29">
        <w:rPr>
          <w:szCs w:val="22"/>
        </w:rPr>
        <w:t>[</w:t>
      </w:r>
      <w:r w:rsidR="009D64F8" w:rsidRPr="00191D29">
        <w:rPr>
          <w:szCs w:val="22"/>
        </w:rPr>
        <w:t>…</w:t>
      </w:r>
      <w:r w:rsidR="000A6831" w:rsidRPr="00191D29">
        <w:rPr>
          <w:szCs w:val="22"/>
        </w:rPr>
        <w:t>]</w:t>
      </w:r>
      <w:r w:rsidRPr="00191D29">
        <w:rPr>
          <w:szCs w:val="22"/>
        </w:rPr>
        <w:t xml:space="preserve"> per tonne of methanol consumed by the ship</w:t>
      </w:r>
      <w:r w:rsidR="00DC5EDD" w:rsidRPr="00191D29">
        <w:rPr>
          <w:szCs w:val="22"/>
        </w:rPr>
        <w:t>,</w:t>
      </w:r>
      <w:r w:rsidR="00DC5EDD" w:rsidRPr="000A6875">
        <w:rPr>
          <w:szCs w:val="22"/>
        </w:rPr>
        <w:t xml:space="preserve"> based on a CO</w:t>
      </w:r>
      <w:r w:rsidR="00DC5EDD" w:rsidRPr="000A6875">
        <w:rPr>
          <w:szCs w:val="22"/>
          <w:vertAlign w:val="subscript"/>
        </w:rPr>
        <w:t>2</w:t>
      </w:r>
      <w:r w:rsidR="00DC5EDD" w:rsidRPr="000A6875">
        <w:rPr>
          <w:szCs w:val="22"/>
        </w:rPr>
        <w:t>e conversion factor of [</w:t>
      </w:r>
      <w:r w:rsidR="00A52DC4" w:rsidRPr="000A6875">
        <w:rPr>
          <w:szCs w:val="22"/>
        </w:rPr>
        <w:t>…</w:t>
      </w:r>
      <w:r w:rsidR="00DC5EDD" w:rsidRPr="000A6875">
        <w:rPr>
          <w:szCs w:val="22"/>
        </w:rPr>
        <w:t xml:space="preserve">] and an </w:t>
      </w:r>
      <w:r w:rsidR="00DC5EDD" w:rsidRPr="000A6875">
        <w:rPr>
          <w:szCs w:val="22"/>
          <w:lang w:eastAsia="ja-JP"/>
        </w:rPr>
        <w:t>energy density ratio by mass compared to diesel/gas oil</w:t>
      </w:r>
      <w:r w:rsidR="00D0152C" w:rsidRPr="000A6875">
        <w:rPr>
          <w:szCs w:val="22"/>
          <w:lang w:eastAsia="ja-JP"/>
        </w:rPr>
        <w:t xml:space="preserve"> of</w:t>
      </w:r>
      <w:r w:rsidR="00DC5EDD" w:rsidRPr="000A6875">
        <w:rPr>
          <w:szCs w:val="22"/>
          <w:lang w:eastAsia="ja-JP"/>
        </w:rPr>
        <w:t xml:space="preserve"> […] per cent</w:t>
      </w:r>
    </w:p>
    <w:p w14:paraId="41A57784" w14:textId="77777777" w:rsidR="00FB6906" w:rsidRPr="00191D29" w:rsidRDefault="00FB6906" w:rsidP="000E1255">
      <w:pPr>
        <w:rPr>
          <w:szCs w:val="22"/>
          <w:u w:val="single"/>
        </w:rPr>
      </w:pPr>
    </w:p>
    <w:p w14:paraId="72F3188D" w14:textId="339EEA97" w:rsidR="00DC5EDD" w:rsidRPr="000A6875" w:rsidRDefault="00B04B6E" w:rsidP="00DC5EDD">
      <w:pPr>
        <w:ind w:left="851"/>
        <w:rPr>
          <w:strike/>
          <w:szCs w:val="22"/>
          <w:lang w:eastAsia="ja-JP"/>
        </w:rPr>
      </w:pPr>
      <w:r w:rsidRPr="00191D29">
        <w:rPr>
          <w:szCs w:val="22"/>
          <w:u w:val="single"/>
        </w:rPr>
        <w:t>For Ammonia</w:t>
      </w:r>
      <w:r w:rsidRPr="00191D29">
        <w:rPr>
          <w:szCs w:val="22"/>
        </w:rPr>
        <w:t>: equivalent to US$</w:t>
      </w:r>
      <w:r w:rsidR="00F10274" w:rsidRPr="00191D29">
        <w:rPr>
          <w:szCs w:val="22"/>
        </w:rPr>
        <w:t>[</w:t>
      </w:r>
      <w:r w:rsidR="009D64F8" w:rsidRPr="00191D29">
        <w:rPr>
          <w:szCs w:val="22"/>
        </w:rPr>
        <w:t>…</w:t>
      </w:r>
      <w:r w:rsidR="00F10274" w:rsidRPr="00191D29">
        <w:rPr>
          <w:szCs w:val="22"/>
        </w:rPr>
        <w:t>]</w:t>
      </w:r>
      <w:r w:rsidRPr="00191D29">
        <w:rPr>
          <w:szCs w:val="22"/>
        </w:rPr>
        <w:t xml:space="preserve"> per tonne of ammonia consumed by the ship</w:t>
      </w:r>
      <w:r w:rsidR="00DC5EDD" w:rsidRPr="00191D29">
        <w:rPr>
          <w:szCs w:val="22"/>
        </w:rPr>
        <w:t>,</w:t>
      </w:r>
      <w:r w:rsidR="00DC5EDD" w:rsidRPr="000A6875">
        <w:rPr>
          <w:szCs w:val="22"/>
        </w:rPr>
        <w:t xml:space="preserve"> based on a CO</w:t>
      </w:r>
      <w:r w:rsidR="00DC5EDD" w:rsidRPr="000A6875">
        <w:rPr>
          <w:szCs w:val="22"/>
          <w:vertAlign w:val="subscript"/>
        </w:rPr>
        <w:t>2</w:t>
      </w:r>
      <w:r w:rsidR="00DC5EDD" w:rsidRPr="000A6875">
        <w:rPr>
          <w:szCs w:val="22"/>
        </w:rPr>
        <w:t>e conversion factor of [</w:t>
      </w:r>
      <w:r w:rsidR="00A52DC4" w:rsidRPr="000A6875">
        <w:rPr>
          <w:szCs w:val="22"/>
        </w:rPr>
        <w:t>…</w:t>
      </w:r>
      <w:r w:rsidR="00DC5EDD" w:rsidRPr="000A6875">
        <w:rPr>
          <w:szCs w:val="22"/>
        </w:rPr>
        <w:t xml:space="preserve">] and an </w:t>
      </w:r>
      <w:r w:rsidR="00DC5EDD" w:rsidRPr="000A6875">
        <w:rPr>
          <w:szCs w:val="22"/>
          <w:lang w:eastAsia="ja-JP"/>
        </w:rPr>
        <w:t xml:space="preserve">energy density ratio by mass compared to diesel/gas oil </w:t>
      </w:r>
      <w:r w:rsidR="00D0152C" w:rsidRPr="000A6875">
        <w:rPr>
          <w:szCs w:val="22"/>
          <w:lang w:eastAsia="ja-JP"/>
        </w:rPr>
        <w:t xml:space="preserve">of </w:t>
      </w:r>
      <w:r w:rsidR="00DC5EDD" w:rsidRPr="000A6875">
        <w:rPr>
          <w:szCs w:val="22"/>
          <w:lang w:eastAsia="ja-JP"/>
        </w:rPr>
        <w:t>[…] per cent</w:t>
      </w:r>
    </w:p>
    <w:p w14:paraId="1313AEB6" w14:textId="77777777" w:rsidR="00B04B6E" w:rsidRPr="00191D29" w:rsidRDefault="00B04B6E" w:rsidP="00DE29DC">
      <w:pPr>
        <w:rPr>
          <w:szCs w:val="22"/>
        </w:rPr>
      </w:pPr>
    </w:p>
    <w:p w14:paraId="52A5724E" w14:textId="729A76FF" w:rsidR="00B04B6E" w:rsidRPr="000A6875" w:rsidRDefault="00B04B6E" w:rsidP="00DC5EDD">
      <w:pPr>
        <w:ind w:left="851"/>
        <w:rPr>
          <w:strike/>
          <w:szCs w:val="22"/>
          <w:lang w:eastAsia="ja-JP"/>
        </w:rPr>
      </w:pPr>
      <w:r w:rsidRPr="00191D29">
        <w:rPr>
          <w:szCs w:val="22"/>
          <w:u w:val="single"/>
        </w:rPr>
        <w:t>For Hydrogen</w:t>
      </w:r>
      <w:r w:rsidRPr="00191D29">
        <w:rPr>
          <w:szCs w:val="22"/>
        </w:rPr>
        <w:t>: equivalent to US$</w:t>
      </w:r>
      <w:r w:rsidR="00A94F1F" w:rsidRPr="00191D29">
        <w:rPr>
          <w:szCs w:val="22"/>
        </w:rPr>
        <w:t>[</w:t>
      </w:r>
      <w:r w:rsidR="009D64F8" w:rsidRPr="00191D29">
        <w:rPr>
          <w:szCs w:val="22"/>
        </w:rPr>
        <w:t>…</w:t>
      </w:r>
      <w:r w:rsidR="00F10274" w:rsidRPr="00191D29">
        <w:rPr>
          <w:szCs w:val="22"/>
        </w:rPr>
        <w:t>]</w:t>
      </w:r>
      <w:r w:rsidRPr="00191D29">
        <w:rPr>
          <w:szCs w:val="22"/>
        </w:rPr>
        <w:t xml:space="preserve"> per tonne of hydrogen consumed by the ship</w:t>
      </w:r>
      <w:r w:rsidR="00DC5EDD" w:rsidRPr="00191D29">
        <w:rPr>
          <w:szCs w:val="22"/>
        </w:rPr>
        <w:t>,</w:t>
      </w:r>
      <w:r w:rsidR="00DC5EDD" w:rsidRPr="000A6875">
        <w:rPr>
          <w:szCs w:val="22"/>
        </w:rPr>
        <w:t xml:space="preserve"> based on a CO</w:t>
      </w:r>
      <w:r w:rsidR="00DC5EDD" w:rsidRPr="000A6875">
        <w:rPr>
          <w:szCs w:val="22"/>
          <w:vertAlign w:val="subscript"/>
        </w:rPr>
        <w:t>2</w:t>
      </w:r>
      <w:r w:rsidR="00DC5EDD" w:rsidRPr="000A6875">
        <w:rPr>
          <w:szCs w:val="22"/>
        </w:rPr>
        <w:t>e conversion factor of [</w:t>
      </w:r>
      <w:r w:rsidR="00A52DC4" w:rsidRPr="000A6875">
        <w:rPr>
          <w:szCs w:val="22"/>
        </w:rPr>
        <w:t>…</w:t>
      </w:r>
      <w:r w:rsidR="00DC5EDD" w:rsidRPr="000A6875">
        <w:rPr>
          <w:szCs w:val="22"/>
        </w:rPr>
        <w:t xml:space="preserve">] and an </w:t>
      </w:r>
      <w:r w:rsidR="00DC5EDD" w:rsidRPr="000A6875">
        <w:rPr>
          <w:szCs w:val="22"/>
          <w:lang w:eastAsia="ja-JP"/>
        </w:rPr>
        <w:t>energy density ratio by mass compared to diesel/gas oil</w:t>
      </w:r>
      <w:r w:rsidR="00D0152C" w:rsidRPr="000A6875">
        <w:rPr>
          <w:szCs w:val="22"/>
          <w:lang w:eastAsia="ja-JP"/>
        </w:rPr>
        <w:t xml:space="preserve"> of</w:t>
      </w:r>
      <w:r w:rsidR="00DC5EDD" w:rsidRPr="000A6875">
        <w:rPr>
          <w:szCs w:val="22"/>
          <w:lang w:eastAsia="ja-JP"/>
        </w:rPr>
        <w:t xml:space="preserve"> […] per cent</w:t>
      </w:r>
    </w:p>
    <w:p w14:paraId="301F026A" w14:textId="77777777" w:rsidR="00B04B6E" w:rsidRPr="00191D29" w:rsidRDefault="00B04B6E" w:rsidP="00B04B6E">
      <w:pPr>
        <w:ind w:left="851"/>
        <w:rPr>
          <w:szCs w:val="22"/>
        </w:rPr>
      </w:pPr>
    </w:p>
    <w:p w14:paraId="30AC5B73" w14:textId="77777777" w:rsidR="00B04B6E" w:rsidRPr="00191D29" w:rsidRDefault="00B04B6E" w:rsidP="00B04B6E">
      <w:pPr>
        <w:rPr>
          <w:szCs w:val="22"/>
        </w:rPr>
      </w:pPr>
      <w:r w:rsidRPr="00191D29">
        <w:rPr>
          <w:szCs w:val="22"/>
        </w:rPr>
        <w:t>2</w:t>
      </w:r>
      <w:r w:rsidRPr="00191D29">
        <w:rPr>
          <w:szCs w:val="22"/>
        </w:rPr>
        <w:tab/>
        <w:t xml:space="preserve">In the case of a ship equipped with a dual-fuel main or auxiliary engine, </w:t>
      </w:r>
      <w:r w:rsidRPr="000A6875">
        <w:rPr>
          <w:szCs w:val="22"/>
        </w:rPr>
        <w:t xml:space="preserve">the ship shall provide the ZESF with fuel oil consumption data for both types of fuel, as provided to the Administration in accordance with </w:t>
      </w:r>
      <w:r w:rsidRPr="00191D29">
        <w:rPr>
          <w:szCs w:val="22"/>
        </w:rPr>
        <w:t>regulation 27.3 of MARPOL Annex VI.</w:t>
      </w:r>
    </w:p>
    <w:p w14:paraId="5F3D146E" w14:textId="77777777" w:rsidR="00B04B6E" w:rsidRPr="000A6875" w:rsidRDefault="00B04B6E" w:rsidP="00B04B6E">
      <w:pPr>
        <w:rPr>
          <w:szCs w:val="22"/>
        </w:rPr>
      </w:pPr>
    </w:p>
    <w:p w14:paraId="4545AF01" w14:textId="77777777" w:rsidR="00B04B6E" w:rsidRPr="00191D29" w:rsidRDefault="00B04B6E" w:rsidP="00B04B6E">
      <w:pPr>
        <w:rPr>
          <w:szCs w:val="22"/>
        </w:rPr>
      </w:pPr>
      <w:r w:rsidRPr="00191D29">
        <w:rPr>
          <w:bCs/>
          <w:szCs w:val="22"/>
        </w:rPr>
        <w:t>3</w:t>
      </w:r>
      <w:r w:rsidRPr="00191D29">
        <w:rPr>
          <w:bCs/>
          <w:szCs w:val="22"/>
        </w:rPr>
        <w:tab/>
      </w:r>
      <w:bookmarkStart w:id="14" w:name="_Hlk125304178"/>
      <w:r w:rsidRPr="00191D29">
        <w:rPr>
          <w:bCs/>
          <w:szCs w:val="22"/>
        </w:rPr>
        <w:t xml:space="preserve">Notwithstanding the requirement under regulation </w:t>
      </w:r>
      <w:r w:rsidRPr="00191D29">
        <w:rPr>
          <w:szCs w:val="22"/>
        </w:rPr>
        <w:t>35.1 of MARPOL Annex VI</w:t>
      </w:r>
      <w:r w:rsidRPr="00191D29">
        <w:rPr>
          <w:bCs/>
          <w:szCs w:val="22"/>
        </w:rPr>
        <w:t xml:space="preserve"> for a ship to make a contribution to the </w:t>
      </w:r>
      <w:r w:rsidRPr="00191D29">
        <w:rPr>
          <w:szCs w:val="22"/>
        </w:rPr>
        <w:t>ZESF</w:t>
      </w:r>
      <w:r w:rsidRPr="00191D29">
        <w:rPr>
          <w:bCs/>
          <w:szCs w:val="22"/>
        </w:rPr>
        <w:t xml:space="preserve">, the entity ultimately responsible for paying for the cost of the fuel oil should ultimately be responsible for meeting the cost of the contribution.  When </w:t>
      </w:r>
      <w:r w:rsidRPr="00191D29">
        <w:rPr>
          <w:szCs w:val="22"/>
        </w:rPr>
        <w:t xml:space="preserve">a ship is operating under a charter party clause which requires the charterer to pay for the fuel oil purchased for consumption on that ship, the cost of the associated contribution to the ZESF for that ship </w:t>
      </w:r>
      <w:r w:rsidRPr="00191D29">
        <w:rPr>
          <w:bCs/>
          <w:szCs w:val="22"/>
        </w:rPr>
        <w:t xml:space="preserve">should </w:t>
      </w:r>
      <w:r w:rsidRPr="00191D29">
        <w:rPr>
          <w:szCs w:val="22"/>
        </w:rPr>
        <w:t>be the responsibility of the charterer.</w:t>
      </w:r>
    </w:p>
    <w:bookmarkEnd w:id="14"/>
    <w:p w14:paraId="1D579A8C" w14:textId="77777777" w:rsidR="00B04B6E" w:rsidRPr="00191D29" w:rsidRDefault="00B04B6E" w:rsidP="00B04B6E">
      <w:pPr>
        <w:rPr>
          <w:szCs w:val="22"/>
        </w:rPr>
      </w:pPr>
    </w:p>
    <w:p w14:paraId="44D0B6E3" w14:textId="77777777" w:rsidR="00B04B6E" w:rsidRPr="00191D29" w:rsidRDefault="00B04B6E" w:rsidP="00B04B6E">
      <w:pPr>
        <w:rPr>
          <w:szCs w:val="22"/>
          <w:lang w:eastAsia="ja-JP"/>
        </w:rPr>
      </w:pPr>
      <w:r w:rsidRPr="00191D29">
        <w:rPr>
          <w:szCs w:val="22"/>
          <w:lang w:eastAsia="ja-JP"/>
        </w:rPr>
        <w:t>4</w:t>
      </w:r>
      <w:r w:rsidRPr="00191D29">
        <w:rPr>
          <w:szCs w:val="22"/>
          <w:lang w:eastAsia="ja-JP"/>
        </w:rPr>
        <w:tab/>
        <w:t>To avoid double counting of CO</w:t>
      </w:r>
      <w:r w:rsidRPr="00191D29">
        <w:rPr>
          <w:szCs w:val="22"/>
          <w:vertAlign w:val="subscript"/>
          <w:lang w:eastAsia="ja-JP"/>
        </w:rPr>
        <w:t>2</w:t>
      </w:r>
      <w:r w:rsidRPr="00191D29">
        <w:rPr>
          <w:szCs w:val="22"/>
          <w:lang w:eastAsia="ja-JP"/>
        </w:rPr>
        <w:t>e emissions, both in measures adopted by the Organization and other regional or national measures, the mandatory contribution by a ship to the funding mechanism established for international shipping should not be duplicative, and emissions or fuel consumption for the basis of such a contribution should be accounted for only once.</w:t>
      </w:r>
    </w:p>
    <w:p w14:paraId="16050DFD" w14:textId="77777777" w:rsidR="00B04B6E" w:rsidRPr="00191D29" w:rsidRDefault="00B04B6E" w:rsidP="00B04B6E">
      <w:pPr>
        <w:rPr>
          <w:szCs w:val="22"/>
          <w:lang w:eastAsia="ja-JP"/>
        </w:rPr>
      </w:pPr>
    </w:p>
    <w:p w14:paraId="5AF66F7C" w14:textId="77777777" w:rsidR="00B04B6E" w:rsidRPr="00191D29" w:rsidRDefault="00B04B6E" w:rsidP="00B04B6E">
      <w:pPr>
        <w:rPr>
          <w:b/>
          <w:bCs/>
          <w:i/>
          <w:iCs/>
          <w:szCs w:val="22"/>
          <w:lang w:eastAsia="ja-JP"/>
        </w:rPr>
      </w:pPr>
      <w:r w:rsidRPr="00191D29">
        <w:rPr>
          <w:b/>
          <w:bCs/>
          <w:i/>
          <w:iCs/>
          <w:szCs w:val="22"/>
          <w:lang w:eastAsia="ja-JP"/>
        </w:rPr>
        <w:t xml:space="preserve">Reward from the Zero Emission Shipping Fund </w:t>
      </w:r>
    </w:p>
    <w:p w14:paraId="3B1FDA50" w14:textId="77777777" w:rsidR="00B04B6E" w:rsidRPr="00191D29" w:rsidRDefault="00B04B6E" w:rsidP="00B04B6E">
      <w:pPr>
        <w:rPr>
          <w:szCs w:val="22"/>
          <w:lang w:eastAsia="ja-JP"/>
        </w:rPr>
      </w:pPr>
    </w:p>
    <w:p w14:paraId="500708FA" w14:textId="77777777" w:rsidR="00B04B6E" w:rsidRPr="00191D29" w:rsidRDefault="00B04B6E" w:rsidP="00B04B6E">
      <w:pPr>
        <w:rPr>
          <w:szCs w:val="22"/>
        </w:rPr>
      </w:pPr>
      <w:r w:rsidRPr="00191D29">
        <w:rPr>
          <w:szCs w:val="22"/>
        </w:rPr>
        <w:t>5</w:t>
      </w:r>
      <w:r w:rsidRPr="00191D29">
        <w:rPr>
          <w:szCs w:val="22"/>
        </w:rPr>
        <w:tab/>
        <w:t>Pursuant to regulation 36.1 of MARPOL Annex VI, the reward from the Zero Emission Shipping Fund for each ship using eligible zero or near-zero GHG fuels</w:t>
      </w:r>
      <w:r w:rsidRPr="00191D29">
        <w:rPr>
          <w:rStyle w:val="FootnoteReference"/>
          <w:szCs w:val="22"/>
        </w:rPr>
        <w:footnoteReference w:id="16"/>
      </w:r>
      <w:r w:rsidRPr="00191D29">
        <w:rPr>
          <w:szCs w:val="22"/>
        </w:rPr>
        <w:t xml:space="preserve"> shall be calculated as follows:</w:t>
      </w:r>
    </w:p>
    <w:p w14:paraId="4E03CA30" w14:textId="77777777" w:rsidR="00B33CDD" w:rsidRPr="00191D29" w:rsidRDefault="00B33CDD" w:rsidP="00B04B6E">
      <w:pPr>
        <w:rPr>
          <w:szCs w:val="22"/>
        </w:rPr>
      </w:pPr>
    </w:p>
    <w:p w14:paraId="729DC024" w14:textId="52975801" w:rsidR="00B33CDD" w:rsidRPr="00191D29" w:rsidRDefault="00B33CDD" w:rsidP="00B33CDD">
      <w:pPr>
        <w:tabs>
          <w:tab w:val="left" w:pos="3119"/>
        </w:tabs>
        <w:ind w:left="851"/>
        <w:rPr>
          <w:szCs w:val="22"/>
        </w:rPr>
      </w:pPr>
      <w:r w:rsidRPr="00191D29">
        <w:rPr>
          <w:b/>
          <w:bCs/>
          <w:szCs w:val="22"/>
        </w:rPr>
        <w:t>Rate of Reward</w:t>
      </w:r>
      <w:r w:rsidRPr="00191D29">
        <w:rPr>
          <w:szCs w:val="22"/>
        </w:rPr>
        <w:t xml:space="preserve">: </w:t>
      </w:r>
      <w:r w:rsidRPr="00191D29">
        <w:rPr>
          <w:b/>
          <w:bCs/>
          <w:szCs w:val="22"/>
        </w:rPr>
        <w:t>US$</w:t>
      </w:r>
      <w:r w:rsidR="00436448" w:rsidRPr="00191D29">
        <w:rPr>
          <w:b/>
          <w:bCs/>
          <w:szCs w:val="22"/>
        </w:rPr>
        <w:t>[</w:t>
      </w:r>
      <w:r w:rsidR="0083683E" w:rsidRPr="000A6875">
        <w:rPr>
          <w:b/>
          <w:bCs/>
          <w:szCs w:val="22"/>
        </w:rPr>
        <w:t>…</w:t>
      </w:r>
      <w:r w:rsidR="00436448" w:rsidRPr="000A6875">
        <w:rPr>
          <w:b/>
          <w:bCs/>
          <w:szCs w:val="22"/>
        </w:rPr>
        <w:t>]</w:t>
      </w:r>
      <w:r w:rsidRPr="00191D29">
        <w:rPr>
          <w:b/>
          <w:bCs/>
          <w:szCs w:val="22"/>
        </w:rPr>
        <w:t xml:space="preserve"> per tonne of CO</w:t>
      </w:r>
      <w:r w:rsidRPr="00191D29">
        <w:rPr>
          <w:b/>
          <w:bCs/>
          <w:szCs w:val="22"/>
          <w:vertAlign w:val="subscript"/>
        </w:rPr>
        <w:t>2</w:t>
      </w:r>
      <w:r w:rsidRPr="00191D29">
        <w:rPr>
          <w:b/>
          <w:bCs/>
          <w:szCs w:val="22"/>
        </w:rPr>
        <w:t>e emissions prevented</w:t>
      </w:r>
      <w:r w:rsidRPr="00191D29">
        <w:rPr>
          <w:szCs w:val="22"/>
        </w:rPr>
        <w:t xml:space="preserve"> </w:t>
      </w:r>
    </w:p>
    <w:p w14:paraId="28E10729" w14:textId="77777777" w:rsidR="00B33CDD" w:rsidRPr="00191D29" w:rsidRDefault="00B33CDD" w:rsidP="00B33CDD">
      <w:pPr>
        <w:ind w:left="851"/>
        <w:rPr>
          <w:szCs w:val="22"/>
        </w:rPr>
      </w:pPr>
    </w:p>
    <w:p w14:paraId="219E84E1" w14:textId="2AD4142B" w:rsidR="00F667DB" w:rsidRPr="00191D29" w:rsidRDefault="00B33CDD" w:rsidP="00DE29DC">
      <w:pPr>
        <w:ind w:left="851"/>
        <w:rPr>
          <w:strike/>
          <w:szCs w:val="22"/>
          <w:lang w:eastAsia="ja-JP"/>
        </w:rPr>
      </w:pPr>
      <w:r w:rsidRPr="00191D29">
        <w:rPr>
          <w:szCs w:val="22"/>
          <w:u w:val="single"/>
        </w:rPr>
        <w:t>For bio-diesel</w:t>
      </w:r>
      <w:r w:rsidRPr="00191D29">
        <w:rPr>
          <w:szCs w:val="22"/>
        </w:rPr>
        <w:t xml:space="preserve">: equivalent to </w:t>
      </w:r>
      <w:r w:rsidRPr="000A6875">
        <w:rPr>
          <w:szCs w:val="22"/>
        </w:rPr>
        <w:t>US$</w:t>
      </w:r>
      <w:r w:rsidR="00436448" w:rsidRPr="000A6875">
        <w:rPr>
          <w:szCs w:val="22"/>
        </w:rPr>
        <w:t>[</w:t>
      </w:r>
      <w:r w:rsidR="009D64F8" w:rsidRPr="000A6875">
        <w:rPr>
          <w:szCs w:val="22"/>
        </w:rPr>
        <w:t>…</w:t>
      </w:r>
      <w:r w:rsidR="00436448" w:rsidRPr="000A6875">
        <w:rPr>
          <w:szCs w:val="22"/>
        </w:rPr>
        <w:t>]</w:t>
      </w:r>
      <w:r w:rsidRPr="000A6875">
        <w:rPr>
          <w:szCs w:val="22"/>
        </w:rPr>
        <w:t xml:space="preserve"> </w:t>
      </w:r>
      <w:r w:rsidRPr="00191D29">
        <w:rPr>
          <w:szCs w:val="22"/>
        </w:rPr>
        <w:t xml:space="preserve">per tonne of bio-diesel consumed by the ship, based on </w:t>
      </w:r>
      <w:r w:rsidR="00C95A0A" w:rsidRPr="000A6875">
        <w:rPr>
          <w:szCs w:val="22"/>
        </w:rPr>
        <w:t>a CO</w:t>
      </w:r>
      <w:r w:rsidR="00C95A0A" w:rsidRPr="000A6875">
        <w:rPr>
          <w:szCs w:val="22"/>
          <w:vertAlign w:val="subscript"/>
        </w:rPr>
        <w:t>2</w:t>
      </w:r>
      <w:r w:rsidR="00C95A0A" w:rsidRPr="000A6875">
        <w:rPr>
          <w:szCs w:val="22"/>
        </w:rPr>
        <w:t>e conversion factor of [</w:t>
      </w:r>
      <w:r w:rsidR="00A52DC4" w:rsidRPr="000A6875">
        <w:rPr>
          <w:szCs w:val="22"/>
        </w:rPr>
        <w:t>…</w:t>
      </w:r>
      <w:r w:rsidR="00C95A0A" w:rsidRPr="000A6875">
        <w:rPr>
          <w:szCs w:val="22"/>
        </w:rPr>
        <w:t xml:space="preserve">] </w:t>
      </w:r>
      <w:r w:rsidR="00E97099" w:rsidRPr="000A6875">
        <w:rPr>
          <w:szCs w:val="22"/>
        </w:rPr>
        <w:t xml:space="preserve">and </w:t>
      </w:r>
      <w:r w:rsidRPr="00191D29">
        <w:rPr>
          <w:szCs w:val="22"/>
        </w:rPr>
        <w:t xml:space="preserve">an </w:t>
      </w:r>
      <w:r w:rsidRPr="00191D29">
        <w:rPr>
          <w:szCs w:val="22"/>
          <w:lang w:eastAsia="ja-JP"/>
        </w:rPr>
        <w:t>energy density ratio by mass compared to diesel/gas oil</w:t>
      </w:r>
      <w:r w:rsidR="00D0152C" w:rsidRPr="00191D29">
        <w:rPr>
          <w:szCs w:val="22"/>
          <w:lang w:eastAsia="ja-JP"/>
        </w:rPr>
        <w:t xml:space="preserve"> of</w:t>
      </w:r>
      <w:r w:rsidRPr="00191D29">
        <w:rPr>
          <w:szCs w:val="22"/>
          <w:lang w:eastAsia="ja-JP"/>
        </w:rPr>
        <w:t xml:space="preserve"> </w:t>
      </w:r>
      <w:r w:rsidR="009D64F8" w:rsidRPr="00191D29">
        <w:rPr>
          <w:szCs w:val="22"/>
          <w:lang w:eastAsia="ja-JP"/>
        </w:rPr>
        <w:t>[…]</w:t>
      </w:r>
      <w:r w:rsidRPr="00191D29">
        <w:rPr>
          <w:szCs w:val="22"/>
          <w:lang w:eastAsia="ja-JP"/>
        </w:rPr>
        <w:t xml:space="preserve"> per cent</w:t>
      </w:r>
    </w:p>
    <w:p w14:paraId="40E50F60" w14:textId="28CA7DFE" w:rsidR="00846D0C" w:rsidRPr="00191D29" w:rsidRDefault="00846D0C" w:rsidP="00F667DB">
      <w:pPr>
        <w:rPr>
          <w:szCs w:val="22"/>
        </w:rPr>
      </w:pPr>
    </w:p>
    <w:p w14:paraId="627BAE62" w14:textId="25166F18" w:rsidR="00B33CDD" w:rsidRPr="00191D29" w:rsidRDefault="00846D0C" w:rsidP="00B33CDD">
      <w:pPr>
        <w:ind w:left="851" w:hanging="1700"/>
        <w:rPr>
          <w:szCs w:val="22"/>
          <w:lang w:eastAsia="ja-JP"/>
        </w:rPr>
      </w:pPr>
      <w:r w:rsidRPr="00191D29">
        <w:rPr>
          <w:szCs w:val="22"/>
        </w:rPr>
        <w:tab/>
      </w:r>
      <w:r w:rsidR="00B33CDD" w:rsidRPr="00191D29">
        <w:rPr>
          <w:szCs w:val="22"/>
          <w:u w:val="single"/>
        </w:rPr>
        <w:t>For</w:t>
      </w:r>
      <w:r w:rsidR="005A03F5" w:rsidRPr="00191D29">
        <w:rPr>
          <w:szCs w:val="22"/>
          <w:u w:val="single"/>
        </w:rPr>
        <w:t xml:space="preserve"> </w:t>
      </w:r>
      <w:r w:rsidR="00B33CDD" w:rsidRPr="00191D29">
        <w:rPr>
          <w:szCs w:val="22"/>
          <w:u w:val="single"/>
        </w:rPr>
        <w:t>methanol</w:t>
      </w:r>
      <w:r w:rsidR="00B33CDD" w:rsidRPr="00191D29">
        <w:rPr>
          <w:szCs w:val="22"/>
        </w:rPr>
        <w:t>: equivalent to US$</w:t>
      </w:r>
      <w:r w:rsidR="00436448" w:rsidRPr="00191D29">
        <w:rPr>
          <w:szCs w:val="22"/>
        </w:rPr>
        <w:t>[</w:t>
      </w:r>
      <w:r w:rsidR="009D64F8" w:rsidRPr="00191D29">
        <w:rPr>
          <w:szCs w:val="22"/>
        </w:rPr>
        <w:t>…</w:t>
      </w:r>
      <w:r w:rsidR="00436448" w:rsidRPr="00191D29">
        <w:rPr>
          <w:szCs w:val="22"/>
        </w:rPr>
        <w:t>]</w:t>
      </w:r>
      <w:r w:rsidR="00B33CDD" w:rsidRPr="00191D29">
        <w:rPr>
          <w:szCs w:val="22"/>
        </w:rPr>
        <w:t xml:space="preserve"> per tonne of methanol consumed by the ship, based on </w:t>
      </w:r>
      <w:r w:rsidR="002D5B44" w:rsidRPr="00191D29">
        <w:rPr>
          <w:szCs w:val="22"/>
        </w:rPr>
        <w:t>a CO</w:t>
      </w:r>
      <w:r w:rsidR="002D5B44" w:rsidRPr="00191D29">
        <w:rPr>
          <w:szCs w:val="22"/>
          <w:vertAlign w:val="subscript"/>
        </w:rPr>
        <w:t>2</w:t>
      </w:r>
      <w:r w:rsidR="0055639A" w:rsidRPr="00191D29">
        <w:rPr>
          <w:szCs w:val="22"/>
        </w:rPr>
        <w:t>e conversion factor of [</w:t>
      </w:r>
      <w:r w:rsidR="00A52DC4" w:rsidRPr="00191D29">
        <w:rPr>
          <w:szCs w:val="22"/>
        </w:rPr>
        <w:t>…</w:t>
      </w:r>
      <w:r w:rsidR="0055639A" w:rsidRPr="00191D29">
        <w:rPr>
          <w:szCs w:val="22"/>
        </w:rPr>
        <w:t xml:space="preserve">] </w:t>
      </w:r>
      <w:r w:rsidR="00785D88" w:rsidRPr="00191D29">
        <w:rPr>
          <w:szCs w:val="22"/>
        </w:rPr>
        <w:t xml:space="preserve">and </w:t>
      </w:r>
      <w:r w:rsidR="00B33CDD" w:rsidRPr="00191D29">
        <w:rPr>
          <w:szCs w:val="22"/>
        </w:rPr>
        <w:t xml:space="preserve">an </w:t>
      </w:r>
      <w:r w:rsidR="00B33CDD" w:rsidRPr="00191D29">
        <w:rPr>
          <w:szCs w:val="22"/>
          <w:lang w:eastAsia="ja-JP"/>
        </w:rPr>
        <w:t xml:space="preserve">energy density ratio by mass compared to diesel/gas oil of </w:t>
      </w:r>
      <w:r w:rsidR="006D0624" w:rsidRPr="00191D29">
        <w:rPr>
          <w:szCs w:val="22"/>
          <w:lang w:eastAsia="ja-JP"/>
        </w:rPr>
        <w:t>[</w:t>
      </w:r>
      <w:r w:rsidR="009D64F8" w:rsidRPr="00191D29">
        <w:rPr>
          <w:szCs w:val="22"/>
          <w:lang w:eastAsia="ja-JP"/>
        </w:rPr>
        <w:t>…</w:t>
      </w:r>
      <w:r w:rsidR="006D0624" w:rsidRPr="00191D29">
        <w:rPr>
          <w:szCs w:val="22"/>
          <w:lang w:eastAsia="ja-JP"/>
        </w:rPr>
        <w:t>]</w:t>
      </w:r>
      <w:r w:rsidR="00B33CDD" w:rsidRPr="00191D29">
        <w:rPr>
          <w:szCs w:val="22"/>
          <w:lang w:eastAsia="ja-JP"/>
        </w:rPr>
        <w:t xml:space="preserve"> per cent</w:t>
      </w:r>
    </w:p>
    <w:p w14:paraId="3DDDD459" w14:textId="77777777" w:rsidR="00B33CDD" w:rsidRPr="00191D29" w:rsidRDefault="00B33CDD" w:rsidP="00B33CDD">
      <w:pPr>
        <w:rPr>
          <w:szCs w:val="22"/>
        </w:rPr>
      </w:pPr>
    </w:p>
    <w:p w14:paraId="02281FA5" w14:textId="68B0AB68" w:rsidR="00B33CDD" w:rsidRPr="00191D29" w:rsidRDefault="00B33CDD" w:rsidP="00B33CDD">
      <w:pPr>
        <w:ind w:left="851"/>
        <w:rPr>
          <w:szCs w:val="22"/>
        </w:rPr>
      </w:pPr>
      <w:r w:rsidRPr="00191D29">
        <w:rPr>
          <w:szCs w:val="22"/>
          <w:u w:val="single"/>
        </w:rPr>
        <w:t>For ammonia</w:t>
      </w:r>
      <w:r w:rsidRPr="00191D29">
        <w:rPr>
          <w:szCs w:val="22"/>
        </w:rPr>
        <w:t xml:space="preserve">: equivalent to </w:t>
      </w:r>
      <w:r w:rsidRPr="000A6875">
        <w:rPr>
          <w:szCs w:val="22"/>
        </w:rPr>
        <w:t>US$</w:t>
      </w:r>
      <w:r w:rsidR="0051557D" w:rsidRPr="000A6875">
        <w:rPr>
          <w:szCs w:val="22"/>
        </w:rPr>
        <w:t>[</w:t>
      </w:r>
      <w:r w:rsidR="009D64F8" w:rsidRPr="000A6875">
        <w:rPr>
          <w:szCs w:val="22"/>
        </w:rPr>
        <w:t>…</w:t>
      </w:r>
      <w:r w:rsidR="0051557D" w:rsidRPr="000A6875">
        <w:rPr>
          <w:szCs w:val="22"/>
        </w:rPr>
        <w:t>]</w:t>
      </w:r>
      <w:r w:rsidRPr="000A6875">
        <w:rPr>
          <w:szCs w:val="22"/>
        </w:rPr>
        <w:t xml:space="preserve"> </w:t>
      </w:r>
      <w:r w:rsidRPr="00191D29">
        <w:rPr>
          <w:szCs w:val="22"/>
        </w:rPr>
        <w:t xml:space="preserve">per tonne of ammonia consumed by the ship, based on </w:t>
      </w:r>
      <w:r w:rsidR="00D54CE1" w:rsidRPr="00191D29">
        <w:rPr>
          <w:szCs w:val="22"/>
        </w:rPr>
        <w:t>a CO</w:t>
      </w:r>
      <w:r w:rsidR="00D54CE1" w:rsidRPr="00191D29">
        <w:rPr>
          <w:szCs w:val="22"/>
          <w:vertAlign w:val="subscript"/>
        </w:rPr>
        <w:t>2</w:t>
      </w:r>
      <w:r w:rsidR="00D54CE1" w:rsidRPr="00191D29">
        <w:rPr>
          <w:szCs w:val="22"/>
        </w:rPr>
        <w:t>e conversion factor of [</w:t>
      </w:r>
      <w:r w:rsidR="00A52DC4" w:rsidRPr="00191D29">
        <w:rPr>
          <w:szCs w:val="22"/>
        </w:rPr>
        <w:t>…</w:t>
      </w:r>
      <w:r w:rsidR="00D54CE1" w:rsidRPr="00191D29">
        <w:rPr>
          <w:szCs w:val="22"/>
        </w:rPr>
        <w:t xml:space="preserve">] and </w:t>
      </w:r>
      <w:r w:rsidRPr="00191D29">
        <w:rPr>
          <w:szCs w:val="22"/>
        </w:rPr>
        <w:t xml:space="preserve">an </w:t>
      </w:r>
      <w:r w:rsidRPr="00191D29">
        <w:rPr>
          <w:szCs w:val="22"/>
          <w:lang w:eastAsia="ja-JP"/>
        </w:rPr>
        <w:t>energy density ratio by mass compared to diesel/gas oil</w:t>
      </w:r>
      <w:r w:rsidR="00956D9C" w:rsidRPr="00191D29">
        <w:rPr>
          <w:szCs w:val="22"/>
          <w:lang w:eastAsia="ja-JP"/>
        </w:rPr>
        <w:t xml:space="preserve"> of</w:t>
      </w:r>
      <w:r w:rsidRPr="00191D29">
        <w:rPr>
          <w:szCs w:val="22"/>
          <w:lang w:eastAsia="ja-JP"/>
        </w:rPr>
        <w:t xml:space="preserve"> </w:t>
      </w:r>
      <w:r w:rsidR="006D0624" w:rsidRPr="00191D29">
        <w:rPr>
          <w:szCs w:val="22"/>
          <w:lang w:eastAsia="ja-JP"/>
        </w:rPr>
        <w:t>[</w:t>
      </w:r>
      <w:r w:rsidR="009D64F8" w:rsidRPr="00191D29">
        <w:rPr>
          <w:szCs w:val="22"/>
          <w:lang w:eastAsia="ja-JP"/>
        </w:rPr>
        <w:t>…</w:t>
      </w:r>
      <w:r w:rsidR="006D0624" w:rsidRPr="00191D29">
        <w:rPr>
          <w:szCs w:val="22"/>
          <w:lang w:eastAsia="ja-JP"/>
        </w:rPr>
        <w:t>]</w:t>
      </w:r>
      <w:r w:rsidRPr="00191D29">
        <w:rPr>
          <w:szCs w:val="22"/>
          <w:lang w:eastAsia="ja-JP"/>
        </w:rPr>
        <w:t xml:space="preserve"> per cent </w:t>
      </w:r>
    </w:p>
    <w:p w14:paraId="5852B117" w14:textId="77777777" w:rsidR="00B33CDD" w:rsidRPr="00191D29" w:rsidRDefault="00B33CDD" w:rsidP="00B33CDD">
      <w:pPr>
        <w:ind w:left="851"/>
        <w:rPr>
          <w:szCs w:val="22"/>
        </w:rPr>
      </w:pPr>
    </w:p>
    <w:p w14:paraId="7760A961" w14:textId="5CAC9DC1" w:rsidR="00B33CDD" w:rsidRPr="00191D29" w:rsidRDefault="00B33CDD" w:rsidP="00B33CDD">
      <w:pPr>
        <w:ind w:left="851"/>
        <w:rPr>
          <w:szCs w:val="22"/>
        </w:rPr>
      </w:pPr>
      <w:r w:rsidRPr="00191D29">
        <w:rPr>
          <w:szCs w:val="22"/>
          <w:u w:val="single"/>
        </w:rPr>
        <w:lastRenderedPageBreak/>
        <w:t>For hydrogen</w:t>
      </w:r>
      <w:r w:rsidRPr="00191D29">
        <w:rPr>
          <w:szCs w:val="22"/>
        </w:rPr>
        <w:t xml:space="preserve">: equivalent to </w:t>
      </w:r>
      <w:r w:rsidRPr="000A6875">
        <w:rPr>
          <w:szCs w:val="22"/>
        </w:rPr>
        <w:t>US$</w:t>
      </w:r>
      <w:r w:rsidR="009D64F8" w:rsidRPr="000A6875">
        <w:rPr>
          <w:szCs w:val="22"/>
        </w:rPr>
        <w:t>[…]</w:t>
      </w:r>
      <w:r w:rsidRPr="000A6875">
        <w:rPr>
          <w:szCs w:val="22"/>
        </w:rPr>
        <w:t xml:space="preserve"> </w:t>
      </w:r>
      <w:r w:rsidRPr="00191D29">
        <w:rPr>
          <w:szCs w:val="22"/>
        </w:rPr>
        <w:t xml:space="preserve">per tonne of hydrogen consumed by the ship, based on </w:t>
      </w:r>
      <w:r w:rsidR="00956D9C" w:rsidRPr="00191D29">
        <w:rPr>
          <w:szCs w:val="22"/>
        </w:rPr>
        <w:t>a CO</w:t>
      </w:r>
      <w:r w:rsidR="00956D9C" w:rsidRPr="00191D29">
        <w:rPr>
          <w:szCs w:val="22"/>
          <w:vertAlign w:val="subscript"/>
        </w:rPr>
        <w:t>2</w:t>
      </w:r>
      <w:r w:rsidR="00956D9C" w:rsidRPr="00191D29">
        <w:rPr>
          <w:szCs w:val="22"/>
        </w:rPr>
        <w:t>e conversion factor of [</w:t>
      </w:r>
      <w:r w:rsidR="00A52DC4" w:rsidRPr="00191D29">
        <w:rPr>
          <w:szCs w:val="22"/>
        </w:rPr>
        <w:t>…</w:t>
      </w:r>
      <w:r w:rsidR="00956D9C" w:rsidRPr="00191D29">
        <w:rPr>
          <w:szCs w:val="22"/>
        </w:rPr>
        <w:t xml:space="preserve">] and </w:t>
      </w:r>
      <w:r w:rsidRPr="00191D29">
        <w:rPr>
          <w:szCs w:val="22"/>
        </w:rPr>
        <w:t xml:space="preserve">an </w:t>
      </w:r>
      <w:r w:rsidRPr="00191D29">
        <w:rPr>
          <w:szCs w:val="22"/>
          <w:lang w:eastAsia="ja-JP"/>
        </w:rPr>
        <w:t>energy density ratio by mass compared to diesel/gas oil</w:t>
      </w:r>
      <w:r w:rsidR="00956D9C" w:rsidRPr="00191D29">
        <w:rPr>
          <w:szCs w:val="22"/>
          <w:lang w:eastAsia="ja-JP"/>
        </w:rPr>
        <w:t xml:space="preserve"> of</w:t>
      </w:r>
      <w:r w:rsidRPr="00191D29">
        <w:rPr>
          <w:szCs w:val="22"/>
          <w:lang w:eastAsia="ja-JP"/>
        </w:rPr>
        <w:t xml:space="preserve"> </w:t>
      </w:r>
      <w:r w:rsidR="006D0624" w:rsidRPr="00191D29">
        <w:rPr>
          <w:szCs w:val="22"/>
          <w:lang w:eastAsia="ja-JP"/>
        </w:rPr>
        <w:t>[</w:t>
      </w:r>
      <w:r w:rsidR="009D64F8" w:rsidRPr="00191D29">
        <w:rPr>
          <w:szCs w:val="22"/>
          <w:lang w:eastAsia="ja-JP"/>
        </w:rPr>
        <w:t>…</w:t>
      </w:r>
      <w:r w:rsidR="006D0624" w:rsidRPr="00191D29">
        <w:rPr>
          <w:szCs w:val="22"/>
          <w:lang w:eastAsia="ja-JP"/>
        </w:rPr>
        <w:t>]</w:t>
      </w:r>
      <w:r w:rsidRPr="00191D29">
        <w:rPr>
          <w:szCs w:val="22"/>
          <w:lang w:eastAsia="ja-JP"/>
        </w:rPr>
        <w:t xml:space="preserve"> per cent </w:t>
      </w:r>
    </w:p>
    <w:p w14:paraId="524EDFE7" w14:textId="44AD0FE0" w:rsidR="00B33CDD" w:rsidRPr="00191D29" w:rsidRDefault="00B33CDD" w:rsidP="00B33CDD">
      <w:pPr>
        <w:ind w:left="851"/>
        <w:rPr>
          <w:szCs w:val="22"/>
        </w:rPr>
      </w:pPr>
    </w:p>
    <w:p w14:paraId="3E46CDE1" w14:textId="75258451" w:rsidR="009D64F8" w:rsidRPr="000A6875" w:rsidRDefault="00D0152C" w:rsidP="00B33CDD">
      <w:pPr>
        <w:ind w:left="851"/>
        <w:rPr>
          <w:szCs w:val="22"/>
          <w:u w:val="single"/>
        </w:rPr>
      </w:pPr>
      <w:r w:rsidRPr="000A6875">
        <w:rPr>
          <w:szCs w:val="22"/>
          <w:u w:val="single"/>
        </w:rPr>
        <w:t>For carbon capture</w:t>
      </w:r>
      <w:r w:rsidR="00DE2544" w:rsidRPr="000A6875">
        <w:rPr>
          <w:szCs w:val="22"/>
          <w:u w:val="single"/>
        </w:rPr>
        <w:t>:</w:t>
      </w:r>
      <w:r w:rsidRPr="000A6875">
        <w:rPr>
          <w:szCs w:val="22"/>
        </w:rPr>
        <w:t xml:space="preserve"> </w:t>
      </w:r>
      <w:r w:rsidR="004C1E8C" w:rsidRPr="000A6875">
        <w:rPr>
          <w:szCs w:val="22"/>
        </w:rPr>
        <w:t>equivalent to US$[…]</w:t>
      </w:r>
      <w:r w:rsidR="00B521AA" w:rsidRPr="000A6875">
        <w:rPr>
          <w:szCs w:val="22"/>
        </w:rPr>
        <w:t xml:space="preserve"> [</w:t>
      </w:r>
      <w:r w:rsidR="002E4DE3" w:rsidRPr="000A6875">
        <w:rPr>
          <w:szCs w:val="22"/>
        </w:rPr>
        <w:t>M</w:t>
      </w:r>
      <w:r w:rsidR="00B521AA" w:rsidRPr="000A6875">
        <w:rPr>
          <w:szCs w:val="22"/>
        </w:rPr>
        <w:t>ethodology for cal</w:t>
      </w:r>
      <w:r w:rsidR="00417460" w:rsidRPr="000A6875">
        <w:rPr>
          <w:szCs w:val="22"/>
        </w:rPr>
        <w:t>culating CO</w:t>
      </w:r>
      <w:r w:rsidR="00417460" w:rsidRPr="000A6875">
        <w:rPr>
          <w:szCs w:val="22"/>
          <w:vertAlign w:val="subscript"/>
        </w:rPr>
        <w:t>2</w:t>
      </w:r>
      <w:r w:rsidR="00417460" w:rsidRPr="000A6875">
        <w:rPr>
          <w:szCs w:val="22"/>
        </w:rPr>
        <w:t>e emissions prevented to be developed</w:t>
      </w:r>
      <w:r w:rsidR="00894167" w:rsidRPr="000A6875">
        <w:rPr>
          <w:szCs w:val="22"/>
        </w:rPr>
        <w:t>.</w:t>
      </w:r>
      <w:r w:rsidR="00417460" w:rsidRPr="000A6875">
        <w:rPr>
          <w:szCs w:val="22"/>
        </w:rPr>
        <w:t>]</w:t>
      </w:r>
    </w:p>
    <w:p w14:paraId="36F08FE3" w14:textId="77777777" w:rsidR="00B33CDD" w:rsidRPr="00191D29" w:rsidRDefault="00B33CDD" w:rsidP="00B33CDD">
      <w:pPr>
        <w:rPr>
          <w:szCs w:val="22"/>
        </w:rPr>
      </w:pPr>
    </w:p>
    <w:p w14:paraId="108C846E" w14:textId="79C134F7" w:rsidR="00610429" w:rsidRPr="00191D29" w:rsidRDefault="00610429" w:rsidP="00610429">
      <w:pPr>
        <w:rPr>
          <w:szCs w:val="22"/>
        </w:rPr>
      </w:pPr>
    </w:p>
    <w:p w14:paraId="0419F31A" w14:textId="36F0096D" w:rsidR="00610429" w:rsidRPr="00191D29" w:rsidRDefault="00610429" w:rsidP="00610429">
      <w:pPr>
        <w:jc w:val="center"/>
        <w:rPr>
          <w:szCs w:val="22"/>
        </w:rPr>
      </w:pPr>
      <w:r w:rsidRPr="00191D29">
        <w:rPr>
          <w:szCs w:val="22"/>
        </w:rPr>
        <w:t>__________</w:t>
      </w:r>
    </w:p>
    <w:p w14:paraId="13B3BC3D" w14:textId="77777777" w:rsidR="00610429" w:rsidRPr="00191D29" w:rsidRDefault="00610429" w:rsidP="00610429">
      <w:pPr>
        <w:rPr>
          <w:szCs w:val="22"/>
        </w:rPr>
      </w:pPr>
    </w:p>
    <w:p w14:paraId="59E04C4A" w14:textId="77777777" w:rsidR="00B04B6E" w:rsidRPr="00191D29" w:rsidRDefault="00B04B6E" w:rsidP="00B04B6E">
      <w:pPr>
        <w:ind w:left="3119"/>
        <w:rPr>
          <w:szCs w:val="22"/>
        </w:rPr>
      </w:pPr>
    </w:p>
    <w:p w14:paraId="0CDB95F1" w14:textId="77777777" w:rsidR="00B04B6E" w:rsidRPr="00191D29" w:rsidRDefault="00B04B6E" w:rsidP="00B04B6E">
      <w:pPr>
        <w:rPr>
          <w:szCs w:val="22"/>
        </w:rPr>
        <w:sectPr w:rsidR="00B04B6E" w:rsidRPr="00191D29" w:rsidSect="00DF3E2F">
          <w:headerReference w:type="even" r:id="rId39"/>
          <w:footnotePr>
            <w:numRestart w:val="eachSect"/>
          </w:footnotePr>
          <w:pgSz w:w="11900" w:h="16820"/>
          <w:pgMar w:top="1440" w:right="1410" w:bottom="1440" w:left="1418" w:header="708" w:footer="708" w:gutter="0"/>
          <w:cols w:space="708"/>
          <w:docGrid w:linePitch="360"/>
        </w:sectPr>
      </w:pPr>
    </w:p>
    <w:p w14:paraId="5F13F6F8" w14:textId="61801BBB" w:rsidR="00B04B6E" w:rsidRPr="00191D29" w:rsidRDefault="00B04B6E" w:rsidP="00B04B6E">
      <w:pPr>
        <w:rPr>
          <w:szCs w:val="22"/>
        </w:rPr>
        <w:sectPr w:rsidR="00B04B6E" w:rsidRPr="00191D29" w:rsidSect="00DF3E2F">
          <w:footnotePr>
            <w:numRestart w:val="eachSect"/>
          </w:footnotePr>
          <w:type w:val="continuous"/>
          <w:pgSz w:w="11900" w:h="16820"/>
          <w:pgMar w:top="1440" w:right="1800" w:bottom="1440" w:left="1800" w:header="708" w:footer="708" w:gutter="0"/>
          <w:cols w:space="708"/>
          <w:docGrid w:linePitch="360"/>
        </w:sectPr>
      </w:pPr>
    </w:p>
    <w:p w14:paraId="6BBA7DB9" w14:textId="77777777" w:rsidR="00342D6D" w:rsidRPr="00191D29" w:rsidRDefault="00342D6D" w:rsidP="00CF2460">
      <w:pPr>
        <w:tabs>
          <w:tab w:val="clear" w:pos="851"/>
        </w:tabs>
      </w:pPr>
    </w:p>
    <w:sectPr w:rsidR="00342D6D" w:rsidRPr="00191D29" w:rsidSect="00DF3E2F">
      <w:headerReference w:type="even" r:id="rId40"/>
      <w:headerReference w:type="default" r:id="rId41"/>
      <w:footnotePr>
        <w:numRestart w:val="eachSect"/>
      </w:footnotePr>
      <w:type w:val="continuous"/>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E70E" w14:textId="77777777" w:rsidR="00DF3E2F" w:rsidRDefault="00DF3E2F">
      <w:r>
        <w:separator/>
      </w:r>
    </w:p>
  </w:endnote>
  <w:endnote w:type="continuationSeparator" w:id="0">
    <w:p w14:paraId="7A52E848" w14:textId="77777777" w:rsidR="00DF3E2F" w:rsidRDefault="00DF3E2F">
      <w:r>
        <w:continuationSeparator/>
      </w:r>
    </w:p>
  </w:endnote>
  <w:endnote w:type="continuationNotice" w:id="1">
    <w:p w14:paraId="50102824" w14:textId="77777777" w:rsidR="00DF3E2F" w:rsidRDefault="00DF3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47A9" w14:textId="3C9ECB55" w:rsidR="00377BBF" w:rsidRDefault="00377BBF" w:rsidP="000A45AC">
    <w:pPr>
      <w:pStyle w:val="Footer"/>
      <w:pBdr>
        <w:top w:val="single" w:sz="4" w:space="1" w:color="auto"/>
      </w:pBdr>
    </w:pPr>
    <w:r>
      <w:t>ISWG-GHG 16/2/</w:t>
    </w:r>
    <w:r w:rsidR="00AD57D2">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A56D" w14:textId="7520A682" w:rsidR="00377BBF" w:rsidRDefault="00377BBF" w:rsidP="000A45AC">
    <w:pPr>
      <w:pStyle w:val="Footer"/>
      <w:pBdr>
        <w:top w:val="single" w:sz="4" w:space="1" w:color="auto"/>
      </w:pBdr>
    </w:pPr>
    <w:r>
      <w:t>ISWG-GHG 16/2/</w:t>
    </w:r>
    <w:r w:rsidR="00E4418F">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39C4" w14:textId="086A62E8" w:rsidR="003768DA" w:rsidRDefault="009C31EC" w:rsidP="003768DA">
    <w:pPr>
      <w:pStyle w:val="Footer"/>
      <w:pBdr>
        <w:top w:val="single" w:sz="4" w:space="1" w:color="auto"/>
      </w:pBdr>
    </w:pPr>
    <w:r>
      <w:rPr>
        <w:noProof/>
        <w:szCs w:val="18"/>
        <w:lang w:val="en-US"/>
      </w:rPr>
      <w:drawing>
        <wp:anchor distT="0" distB="0" distL="114300" distR="114300" simplePos="0" relativeHeight="251658240" behindDoc="0" locked="0" layoutInCell="1" allowOverlap="1" wp14:anchorId="45B05BA8" wp14:editId="47973B82">
          <wp:simplePos x="0" y="0"/>
          <wp:positionH relativeFrom="column">
            <wp:posOffset>4772655</wp:posOffset>
          </wp:positionH>
          <wp:positionV relativeFrom="bottomMargin">
            <wp:posOffset>313690</wp:posOffset>
          </wp:positionV>
          <wp:extent cx="971100" cy="485336"/>
          <wp:effectExtent l="0" t="0" r="0" b="0"/>
          <wp:wrapNone/>
          <wp:docPr id="288277180" name="Picture 1" descr="A blue and orange shiel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77180" name="Picture 1" descr="A blue and orange shield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100" cy="485336"/>
                  </a:xfrm>
                  <a:prstGeom prst="rect">
                    <a:avLst/>
                  </a:prstGeom>
                </pic:spPr>
              </pic:pic>
            </a:graphicData>
          </a:graphic>
          <wp14:sizeRelH relativeFrom="margin">
            <wp14:pctWidth>0</wp14:pctWidth>
          </wp14:sizeRelH>
          <wp14:sizeRelV relativeFrom="margin">
            <wp14:pctHeight>0</wp14:pctHeight>
          </wp14:sizeRelV>
        </wp:anchor>
      </w:drawing>
    </w:r>
    <w:r w:rsidR="003768DA">
      <w:t>ISWG-GHG 16/2/</w:t>
    </w:r>
    <w:r w:rsidR="00F776C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75B6" w14:textId="77777777" w:rsidR="00DF3E2F" w:rsidRDefault="00DF3E2F">
      <w:r>
        <w:separator/>
      </w:r>
    </w:p>
  </w:footnote>
  <w:footnote w:type="continuationSeparator" w:id="0">
    <w:p w14:paraId="3BC8D115" w14:textId="77777777" w:rsidR="00DF3E2F" w:rsidRDefault="00DF3E2F">
      <w:r>
        <w:continuationSeparator/>
      </w:r>
    </w:p>
  </w:footnote>
  <w:footnote w:type="continuationNotice" w:id="1">
    <w:p w14:paraId="71966B34" w14:textId="77777777" w:rsidR="00DF3E2F" w:rsidRDefault="00DF3E2F"/>
  </w:footnote>
  <w:footnote w:id="2">
    <w:p w14:paraId="1BF67FAF" w14:textId="77777777" w:rsidR="00377BBF" w:rsidRDefault="00377BBF" w:rsidP="00B04B6E">
      <w:pPr>
        <w:pStyle w:val="FootnoteText"/>
        <w:jc w:val="left"/>
      </w:pPr>
      <w:r>
        <w:rPr>
          <w:rStyle w:val="FootnoteReference"/>
        </w:rPr>
        <w:footnoteRef/>
      </w:r>
      <w:r>
        <w:t xml:space="preserve"> </w:t>
      </w:r>
      <w:r>
        <w:tab/>
        <w:t>By MEPC resolution adopted at the time of adoption of these amendments. Draft Annex to resolution is set out in annex 2 to this document.</w:t>
      </w:r>
    </w:p>
  </w:footnote>
  <w:footnote w:id="3">
    <w:p w14:paraId="5A8D0C27" w14:textId="77777777" w:rsidR="00377BBF" w:rsidRDefault="00377BBF" w:rsidP="00B04B6E">
      <w:pPr>
        <w:pStyle w:val="FootnoteText"/>
        <w:jc w:val="left"/>
      </w:pPr>
      <w:r>
        <w:rPr>
          <w:rStyle w:val="FootnoteReference"/>
        </w:rPr>
        <w:footnoteRef/>
      </w:r>
      <w:r>
        <w:t xml:space="preserve"> </w:t>
      </w:r>
      <w:r>
        <w:tab/>
      </w:r>
      <w:r w:rsidRPr="000B6400">
        <w:t xml:space="preserve">A draft </w:t>
      </w:r>
      <w:r>
        <w:t>document</w:t>
      </w:r>
      <w:r w:rsidRPr="000B6400">
        <w:t xml:space="preserve"> for the establishment and governance of the IMSF (then called the IMSB) is set out in annex 4 of document ISWG-GHG 14/3.</w:t>
      </w:r>
    </w:p>
  </w:footnote>
  <w:footnote w:id="4">
    <w:p w14:paraId="70181B1E" w14:textId="77777777" w:rsidR="00377BBF" w:rsidRDefault="00377BBF" w:rsidP="00B04B6E">
      <w:pPr>
        <w:pStyle w:val="FootnoteText"/>
        <w:jc w:val="left"/>
      </w:pPr>
      <w:r>
        <w:rPr>
          <w:rStyle w:val="FootnoteReference"/>
        </w:rPr>
        <w:footnoteRef/>
      </w:r>
      <w:r>
        <w:t xml:space="preserve"> </w:t>
      </w:r>
      <w:r>
        <w:tab/>
        <w:t xml:space="preserve">By MEPC resolution adopted at the time of adoption of these amendments. Draft </w:t>
      </w:r>
      <w:r w:rsidRPr="008A6BDE">
        <w:t>Annex to</w:t>
      </w:r>
      <w:r>
        <w:t xml:space="preserve"> the MEPC resolution is set out in annex 2 to this document.</w:t>
      </w:r>
    </w:p>
  </w:footnote>
  <w:footnote w:id="5">
    <w:p w14:paraId="67D53DC4" w14:textId="77777777" w:rsidR="00377BBF" w:rsidRDefault="00377BBF" w:rsidP="00B04B6E">
      <w:pPr>
        <w:pStyle w:val="FootnoteText"/>
        <w:jc w:val="left"/>
      </w:pPr>
      <w:r>
        <w:rPr>
          <w:rStyle w:val="FootnoteReference"/>
        </w:rPr>
        <w:footnoteRef/>
      </w:r>
      <w:r>
        <w:t xml:space="preserve"> </w:t>
      </w:r>
      <w:r>
        <w:tab/>
        <w:t>By MEPC resolution adopted at the time of adoption of these amendments. Draft Annex to the MEPC resolution is set out in annex 2 to this document.</w:t>
      </w:r>
    </w:p>
  </w:footnote>
  <w:footnote w:id="6">
    <w:p w14:paraId="7AAF6962" w14:textId="77777777" w:rsidR="00377BBF" w:rsidRDefault="00377BBF" w:rsidP="00B04B6E">
      <w:pPr>
        <w:pStyle w:val="FootnoteText"/>
        <w:jc w:val="left"/>
      </w:pPr>
      <w:r>
        <w:rPr>
          <w:rStyle w:val="FootnoteReference"/>
        </w:rPr>
        <w:footnoteRef/>
      </w:r>
      <w:r>
        <w:t xml:space="preserve"> </w:t>
      </w:r>
      <w:r>
        <w:tab/>
        <w:t>By MEPC resolution adopted at the time of adoption of these amendments. Draft Annex to the MEPC resolution is set out in annex 3 to this document.</w:t>
      </w:r>
    </w:p>
  </w:footnote>
  <w:footnote w:id="7">
    <w:p w14:paraId="366AC4FF" w14:textId="77777777" w:rsidR="00377BBF" w:rsidRDefault="00377BBF" w:rsidP="00B04B6E">
      <w:pPr>
        <w:pStyle w:val="FootnoteText"/>
      </w:pPr>
      <w:r>
        <w:rPr>
          <w:rStyle w:val="FootnoteReference"/>
        </w:rPr>
        <w:footnoteRef/>
      </w:r>
      <w:r>
        <w:t xml:space="preserve"> </w:t>
      </w:r>
      <w:r>
        <w:tab/>
        <w:t>Guidelines to be developed on eligible zero/near-zero GHG fuels, based on the LCA guidelines.</w:t>
      </w:r>
    </w:p>
  </w:footnote>
  <w:footnote w:id="8">
    <w:p w14:paraId="39142FCC" w14:textId="77777777" w:rsidR="00377BBF" w:rsidRDefault="00377BBF" w:rsidP="00B04B6E">
      <w:pPr>
        <w:pStyle w:val="FootnoteText"/>
      </w:pPr>
      <w:r>
        <w:rPr>
          <w:rStyle w:val="FootnoteReference"/>
        </w:rPr>
        <w:footnoteRef/>
      </w:r>
      <w:r>
        <w:t xml:space="preserve"> </w:t>
      </w:r>
      <w:r>
        <w:tab/>
        <w:t>By MEPC resolution and annex adopted at the time of adoption of these amendments. Draft Annex to the MEPC resolution set out in annex 3 to this document.</w:t>
      </w:r>
    </w:p>
  </w:footnote>
  <w:footnote w:id="9">
    <w:p w14:paraId="567A71AF" w14:textId="77777777" w:rsidR="00377BBF" w:rsidRDefault="00377BBF" w:rsidP="00B04B6E">
      <w:pPr>
        <w:pStyle w:val="FootnoteText"/>
      </w:pPr>
      <w:r>
        <w:rPr>
          <w:rStyle w:val="FootnoteReference"/>
        </w:rPr>
        <w:footnoteRef/>
      </w:r>
      <w:r>
        <w:t xml:space="preserve"> </w:t>
      </w:r>
      <w:r>
        <w:tab/>
        <w:t>Amendment required to DCS provisions (regulation 27 and appendix IX of MARPOL Annex VI) to include zero/near-zero GHG fuels</w:t>
      </w:r>
      <w:r>
        <w:rPr>
          <w:rFonts w:cs="Arial"/>
          <w:color w:val="000000" w:themeColor="text1"/>
          <w:szCs w:val="22"/>
        </w:rPr>
        <w:t>,</w:t>
      </w:r>
      <w:r w:rsidRPr="007642CE">
        <w:rPr>
          <w:rFonts w:cs="Arial"/>
          <w:color w:val="000000" w:themeColor="text1"/>
          <w:szCs w:val="22"/>
        </w:rPr>
        <w:t xml:space="preserve"> </w:t>
      </w:r>
      <w:r>
        <w:rPr>
          <w:rFonts w:cs="Arial"/>
          <w:color w:val="000000" w:themeColor="text1"/>
          <w:szCs w:val="22"/>
        </w:rPr>
        <w:t>technology and/or energy sources</w:t>
      </w:r>
      <w:r>
        <w:t xml:space="preserve"> eligible for rewards</w:t>
      </w:r>
    </w:p>
  </w:footnote>
  <w:footnote w:id="10">
    <w:p w14:paraId="326838D7" w14:textId="77777777" w:rsidR="00377BBF" w:rsidRDefault="00377BBF" w:rsidP="00B04B6E">
      <w:pPr>
        <w:pStyle w:val="FootnoteText"/>
      </w:pPr>
      <w:r>
        <w:rPr>
          <w:rStyle w:val="FootnoteReference"/>
        </w:rPr>
        <w:footnoteRef/>
      </w:r>
      <w:r>
        <w:t xml:space="preserve"> </w:t>
      </w:r>
      <w:r>
        <w:tab/>
        <w:t>Alternatively, the particulars of the ship may be placed horizontally in boxes.</w:t>
      </w:r>
    </w:p>
  </w:footnote>
  <w:footnote w:id="11">
    <w:p w14:paraId="63596A05" w14:textId="77777777" w:rsidR="00377BBF" w:rsidRDefault="00377BBF" w:rsidP="00B04B6E">
      <w:pPr>
        <w:pStyle w:val="FootnoteText"/>
      </w:pPr>
      <w:r>
        <w:rPr>
          <w:rStyle w:val="FootnoteReference"/>
        </w:rPr>
        <w:footnoteRef/>
      </w:r>
      <w:r>
        <w:t xml:space="preserve"> </w:t>
      </w:r>
      <w:r>
        <w:tab/>
        <w:t>In accordance with the IMO ship identification number scheme (resolution A.1078(28)).</w:t>
      </w:r>
    </w:p>
  </w:footnote>
  <w:footnote w:id="12">
    <w:p w14:paraId="6A531D09" w14:textId="79F42918" w:rsidR="00955C52" w:rsidRDefault="00955C52">
      <w:pPr>
        <w:pStyle w:val="FootnoteText"/>
      </w:pPr>
      <w:r>
        <w:rPr>
          <w:rStyle w:val="FootnoteReference"/>
        </w:rPr>
        <w:footnoteRef/>
      </w:r>
      <w:r>
        <w:t xml:space="preserve"> </w:t>
      </w:r>
      <w:r>
        <w:tab/>
      </w:r>
      <w:r w:rsidR="00A346FE">
        <w:t>O</w:t>
      </w:r>
      <w:r>
        <w:t xml:space="preserve">ther technologies and energy sources </w:t>
      </w:r>
      <w:r w:rsidR="00237B71">
        <w:t>as may be</w:t>
      </w:r>
      <w:r>
        <w:t xml:space="preserve"> decided</w:t>
      </w:r>
      <w:r w:rsidR="00A346FE">
        <w:t xml:space="preserve"> by the Committee</w:t>
      </w:r>
    </w:p>
  </w:footnote>
  <w:footnote w:id="13">
    <w:p w14:paraId="78451A74" w14:textId="7D11C2E6" w:rsidR="00377BBF" w:rsidRPr="00DF5250" w:rsidRDefault="00377BBF" w:rsidP="00B04B6E">
      <w:pPr>
        <w:pStyle w:val="FootnoteText"/>
        <w:rPr>
          <w:color w:val="000000" w:themeColor="text1"/>
        </w:rPr>
      </w:pPr>
      <w:r w:rsidRPr="008C295D">
        <w:rPr>
          <w:rStyle w:val="FootnoteReference"/>
          <w:sz w:val="18"/>
          <w:szCs w:val="16"/>
        </w:rPr>
        <w:footnoteRef/>
      </w:r>
      <w:r>
        <w:t xml:space="preserve">    </w:t>
      </w:r>
      <w:r>
        <w:tab/>
      </w:r>
      <w:r w:rsidR="00982494" w:rsidRPr="00DF5250">
        <w:rPr>
          <w:color w:val="000000" w:themeColor="text1"/>
        </w:rPr>
        <w:t>EEDI Guidelines</w:t>
      </w:r>
      <w:r w:rsidR="001E65E3" w:rsidRPr="00DF5250">
        <w:rPr>
          <w:color w:val="000000" w:themeColor="text1"/>
        </w:rPr>
        <w:t xml:space="preserve"> </w:t>
      </w:r>
      <w:r w:rsidR="00B279DC" w:rsidRPr="00DF5250">
        <w:rPr>
          <w:color w:val="000000" w:themeColor="text1"/>
        </w:rPr>
        <w:t xml:space="preserve">using </w:t>
      </w:r>
      <w:r w:rsidR="001E65E3" w:rsidRPr="00DF5250">
        <w:rPr>
          <w:color w:val="000000" w:themeColor="text1"/>
        </w:rPr>
        <w:t>CO</w:t>
      </w:r>
      <w:r w:rsidR="001E65E3" w:rsidRPr="00DF5250">
        <w:rPr>
          <w:color w:val="000000" w:themeColor="text1"/>
          <w:vertAlign w:val="subscript"/>
        </w:rPr>
        <w:t>2</w:t>
      </w:r>
      <w:r w:rsidR="001E65E3" w:rsidRPr="00DF5250">
        <w:rPr>
          <w:color w:val="000000" w:themeColor="text1"/>
        </w:rPr>
        <w:t xml:space="preserve"> </w:t>
      </w:r>
      <w:r w:rsidR="00B279DC" w:rsidRPr="00DF5250">
        <w:rPr>
          <w:color w:val="000000" w:themeColor="text1"/>
        </w:rPr>
        <w:t>(not CO</w:t>
      </w:r>
      <w:r w:rsidR="00B279DC" w:rsidRPr="00DF5250">
        <w:rPr>
          <w:color w:val="000000" w:themeColor="text1"/>
          <w:vertAlign w:val="subscript"/>
        </w:rPr>
        <w:t>2</w:t>
      </w:r>
      <w:r w:rsidR="00B279DC" w:rsidRPr="00DF5250">
        <w:rPr>
          <w:color w:val="000000" w:themeColor="text1"/>
        </w:rPr>
        <w:t xml:space="preserve">e) </w:t>
      </w:r>
      <w:r w:rsidR="0064164D" w:rsidRPr="00DF5250">
        <w:rPr>
          <w:color w:val="000000" w:themeColor="text1"/>
        </w:rPr>
        <w:t xml:space="preserve">conversion factors, although for liquid fuel oil these are likely to </w:t>
      </w:r>
      <w:r w:rsidR="00EA25A5" w:rsidRPr="00DF5250">
        <w:rPr>
          <w:color w:val="000000" w:themeColor="text1"/>
        </w:rPr>
        <w:t xml:space="preserve">be </w:t>
      </w:r>
      <w:r w:rsidR="0064164D" w:rsidRPr="00DF5250">
        <w:rPr>
          <w:color w:val="000000" w:themeColor="text1"/>
        </w:rPr>
        <w:t>similar</w:t>
      </w:r>
      <w:r w:rsidR="00EA25A5" w:rsidRPr="00DF5250">
        <w:rPr>
          <w:color w:val="000000" w:themeColor="text1"/>
        </w:rPr>
        <w:t>.</w:t>
      </w:r>
      <w:r w:rsidR="00B279DC" w:rsidRPr="00DF5250">
        <w:rPr>
          <w:color w:val="000000" w:themeColor="text1"/>
        </w:rPr>
        <w:t xml:space="preserve"> </w:t>
      </w:r>
    </w:p>
  </w:footnote>
  <w:footnote w:id="14">
    <w:p w14:paraId="0E14CFC7" w14:textId="77777777" w:rsidR="00377BBF" w:rsidRDefault="00377BBF" w:rsidP="00B04B6E">
      <w:pPr>
        <w:pStyle w:val="FootnoteText"/>
        <w:spacing w:after="60"/>
        <w:rPr>
          <w:szCs w:val="18"/>
        </w:rPr>
      </w:pPr>
      <w:r>
        <w:rPr>
          <w:rStyle w:val="FootnoteReference"/>
          <w:sz w:val="18"/>
          <w:szCs w:val="18"/>
        </w:rPr>
        <w:footnoteRef/>
      </w:r>
      <w:r>
        <w:rPr>
          <w:szCs w:val="18"/>
        </w:rPr>
        <w:t xml:space="preserve"> </w:t>
      </w:r>
      <w:r>
        <w:rPr>
          <w:szCs w:val="18"/>
        </w:rPr>
        <w:tab/>
      </w:r>
      <w:r>
        <w:rPr>
          <w:szCs w:val="18"/>
          <w:lang w:eastAsia="en-GB"/>
        </w:rPr>
        <w:t>For the purpose of calculating the contribution to the ZESF, the CO</w:t>
      </w:r>
      <w:r>
        <w:rPr>
          <w:szCs w:val="18"/>
          <w:vertAlign w:val="subscript"/>
          <w:lang w:eastAsia="en-GB"/>
        </w:rPr>
        <w:t>2</w:t>
      </w:r>
      <w:r w:rsidRPr="00CD408F">
        <w:rPr>
          <w:szCs w:val="18"/>
          <w:lang w:eastAsia="en-GB"/>
        </w:rPr>
        <w:t>e</w:t>
      </w:r>
      <w:r>
        <w:rPr>
          <w:szCs w:val="18"/>
          <w:vertAlign w:val="subscript"/>
          <w:lang w:eastAsia="en-GB"/>
        </w:rPr>
        <w:t xml:space="preserve"> </w:t>
      </w:r>
      <w:r>
        <w:rPr>
          <w:szCs w:val="18"/>
          <w:lang w:eastAsia="en-GB"/>
        </w:rPr>
        <w:t>emission of all types of liquid fuel oil are treated as being equal to</w:t>
      </w:r>
      <w:r>
        <w:rPr>
          <w:szCs w:val="18"/>
        </w:rPr>
        <w:t xml:space="preserve"> Diesel/Gas Oil</w:t>
      </w:r>
      <w:r>
        <w:rPr>
          <w:szCs w:val="18"/>
          <w:lang w:eastAsia="en-GB"/>
        </w:rPr>
        <w:t>.</w:t>
      </w:r>
    </w:p>
  </w:footnote>
  <w:footnote w:id="15">
    <w:p w14:paraId="4F73ADAE" w14:textId="77777777" w:rsidR="00377BBF" w:rsidRDefault="00377BBF" w:rsidP="00B04B6E">
      <w:pPr>
        <w:pStyle w:val="FootnoteText"/>
        <w:spacing w:after="60"/>
      </w:pPr>
      <w:r>
        <w:rPr>
          <w:rStyle w:val="FootnoteReference"/>
          <w:sz w:val="18"/>
          <w:szCs w:val="18"/>
        </w:rPr>
        <w:footnoteRef/>
      </w:r>
      <w:r>
        <w:rPr>
          <w:szCs w:val="18"/>
        </w:rPr>
        <w:t xml:space="preserve"> </w:t>
      </w:r>
      <w:r>
        <w:rPr>
          <w:szCs w:val="18"/>
        </w:rPr>
        <w:tab/>
        <w:t>The</w:t>
      </w:r>
      <w:r>
        <w:rPr>
          <w:szCs w:val="18"/>
          <w:lang w:eastAsia="en-GB"/>
        </w:rPr>
        <w:t xml:space="preserve"> CO</w:t>
      </w:r>
      <w:r>
        <w:rPr>
          <w:szCs w:val="18"/>
          <w:vertAlign w:val="subscript"/>
          <w:lang w:eastAsia="en-GB"/>
        </w:rPr>
        <w:t>2</w:t>
      </w:r>
      <w:r>
        <w:rPr>
          <w:szCs w:val="18"/>
          <w:lang w:eastAsia="en-GB"/>
        </w:rPr>
        <w:t>e</w:t>
      </w:r>
      <w:r>
        <w:rPr>
          <w:szCs w:val="18"/>
          <w:vertAlign w:val="subscript"/>
          <w:lang w:eastAsia="en-GB"/>
        </w:rPr>
        <w:t xml:space="preserve"> </w:t>
      </w:r>
      <w:r>
        <w:rPr>
          <w:szCs w:val="18"/>
          <w:lang w:eastAsia="en-GB"/>
        </w:rPr>
        <w:t>emissions of butane LPG is regarded as equal to propane</w:t>
      </w:r>
      <w:r>
        <w:rPr>
          <w:sz w:val="20"/>
          <w:lang w:eastAsia="en-GB"/>
        </w:rPr>
        <w:t>.</w:t>
      </w:r>
    </w:p>
  </w:footnote>
  <w:footnote w:id="16">
    <w:p w14:paraId="23DAC261" w14:textId="45E435E1" w:rsidR="00377BBF" w:rsidRDefault="00377BBF" w:rsidP="00E92F0C">
      <w:pPr>
        <w:pStyle w:val="FootnoteText"/>
      </w:pPr>
      <w:r>
        <w:rPr>
          <w:rStyle w:val="FootnoteReference"/>
        </w:rPr>
        <w:footnoteRef/>
      </w:r>
      <w:r>
        <w:t xml:space="preserve"> </w:t>
      </w:r>
      <w:r>
        <w:tab/>
        <w:t xml:space="preserve">Eligible zero/near-zero GHG fuels to be decided by the Committee. </w:t>
      </w:r>
      <w:r w:rsidR="00237B71">
        <w:t>Also o</w:t>
      </w:r>
      <w:r w:rsidR="00620B34">
        <w:t xml:space="preserve">ther technologies and energy sources </w:t>
      </w:r>
      <w:r w:rsidR="00237B71">
        <w:t>as</w:t>
      </w:r>
      <w:r w:rsidR="00620B34">
        <w:t xml:space="preserve"> </w:t>
      </w:r>
      <w:r w:rsidR="00237B71">
        <w:t xml:space="preserve">may be </w:t>
      </w:r>
      <w:r w:rsidR="00620B34">
        <w:t>decided</w:t>
      </w:r>
      <w:r w:rsidR="00620B34" w:rsidDel="00620B34">
        <w:t xml:space="preserve"> </w:t>
      </w:r>
      <w:r w:rsidR="00620B34">
        <w:t>by the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D8BC" w14:textId="2EC3BF0A" w:rsidR="00377BBF" w:rsidRDefault="00377BBF" w:rsidP="000A45AC">
    <w:pPr>
      <w:pStyle w:val="Header"/>
      <w:pBdr>
        <w:bottom w:val="single" w:sz="4" w:space="1" w:color="auto"/>
      </w:pBdr>
      <w:jc w:val="left"/>
    </w:pPr>
    <w:r>
      <w:t>ISWG-GHG 16/2/</w:t>
    </w:r>
    <w:r w:rsidR="00AD57D2">
      <w:t>3</w:t>
    </w:r>
  </w:p>
  <w:p w14:paraId="6A0A6170" w14:textId="6BCDF77F" w:rsidR="00377BBF" w:rsidRDefault="00377BBF" w:rsidP="000A45AC">
    <w:pPr>
      <w:pStyle w:val="Header"/>
      <w:pBdr>
        <w:bottom w:val="single" w:sz="4" w:space="1" w:color="auto"/>
      </w:pBdr>
      <w:tabs>
        <w:tab w:val="clear" w:pos="4153"/>
        <w:tab w:val="clear" w:pos="8306"/>
        <w:tab w:val="left" w:pos="2685"/>
      </w:tabs>
      <w:jc w:val="left"/>
      <w:rPr>
        <w:rStyle w:val="PageNumber"/>
      </w:rPr>
    </w:pPr>
    <w:r>
      <w:t xml:space="preserve">Page </w:t>
    </w:r>
    <w:r>
      <w:fldChar w:fldCharType="begin"/>
    </w:r>
    <w:r>
      <w:instrText xml:space="preserve"> PAGE   \* MERGEFORMAT </w:instrText>
    </w:r>
    <w:r>
      <w:fldChar w:fldCharType="separate"/>
    </w:r>
    <w:r>
      <w:rPr>
        <w:noProof/>
      </w:rPr>
      <w:t>1</w:t>
    </w:r>
    <w:r>
      <w:rPr>
        <w:noProof/>
      </w:rPr>
      <w:fldChar w:fldCharType="end"/>
    </w:r>
  </w:p>
  <w:p w14:paraId="2B48E7EC" w14:textId="77777777" w:rsidR="00377BBF" w:rsidRDefault="00377BB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DFE2" w14:textId="77777777" w:rsidR="00377BBF" w:rsidRDefault="00377BBF" w:rsidP="000A45AC">
    <w:pPr>
      <w:pStyle w:val="Header"/>
      <w:pBdr>
        <w:bottom w:val="single" w:sz="4" w:space="1" w:color="auto"/>
      </w:pBdr>
      <w:jc w:val="left"/>
    </w:pPr>
    <w:r>
      <w:t>ISWG-GHG 16/2/XX</w:t>
    </w:r>
  </w:p>
  <w:p w14:paraId="149A9554" w14:textId="083CE486" w:rsidR="00377BBF" w:rsidRDefault="00377BBF" w:rsidP="000A45AC">
    <w:pPr>
      <w:pStyle w:val="Header"/>
      <w:pBdr>
        <w:bottom w:val="single" w:sz="4" w:space="1" w:color="auto"/>
      </w:pBdr>
      <w:tabs>
        <w:tab w:val="clear" w:pos="4153"/>
        <w:tab w:val="clear" w:pos="8306"/>
        <w:tab w:val="left" w:pos="2685"/>
      </w:tabs>
      <w:jc w:val="left"/>
      <w:rPr>
        <w:rStyle w:val="PageNumber"/>
      </w:rPr>
    </w:pPr>
    <w:r>
      <w:t>Page 12</w:t>
    </w:r>
  </w:p>
  <w:p w14:paraId="095F8226" w14:textId="77777777" w:rsidR="00377BBF" w:rsidRDefault="00377BB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D957" w14:textId="77777777" w:rsidR="00377BBF" w:rsidRPr="00F66FF7" w:rsidRDefault="00377BBF" w:rsidP="000A45AC">
    <w:pPr>
      <w:jc w:val="right"/>
      <w:rPr>
        <w:lang w:val="fr-FR"/>
      </w:rPr>
    </w:pPr>
    <w:r w:rsidRPr="00F66FF7">
      <w:rPr>
        <w:lang w:val="fr-FR"/>
      </w:rPr>
      <w:t>ISWG-GHG 16/2/XX</w:t>
    </w:r>
  </w:p>
  <w:p w14:paraId="3565CCAD" w14:textId="5CE1CDB8" w:rsidR="00377BBF" w:rsidRPr="00F66FF7" w:rsidRDefault="00377BBF">
    <w:pPr>
      <w:pStyle w:val="Header"/>
      <w:pBdr>
        <w:bottom w:val="single" w:sz="4" w:space="1" w:color="auto"/>
      </w:pBdr>
      <w:jc w:val="right"/>
      <w:rPr>
        <w:lang w:val="fr-FR"/>
      </w:rPr>
    </w:pPr>
    <w:r w:rsidRPr="00F66FF7">
      <w:rPr>
        <w:lang w:val="fr-FR"/>
      </w:rPr>
      <w:t>Annex 1, Page 1</w:t>
    </w:r>
  </w:p>
  <w:p w14:paraId="1D69DC2C" w14:textId="77777777" w:rsidR="00377BBF" w:rsidRPr="00F66FF7" w:rsidRDefault="00377BBF">
    <w:pP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8C59" w14:textId="77777777" w:rsidR="00377BBF" w:rsidRDefault="00377BBF" w:rsidP="000A45AC">
    <w:pPr>
      <w:pStyle w:val="Header"/>
      <w:pBdr>
        <w:bottom w:val="single" w:sz="4" w:space="1" w:color="auto"/>
      </w:pBdr>
      <w:jc w:val="left"/>
    </w:pPr>
    <w:r>
      <w:t>ISWG-GHG 16/2/XX</w:t>
    </w:r>
  </w:p>
  <w:p w14:paraId="662BFCCF" w14:textId="2A94C9B4" w:rsidR="00377BBF" w:rsidRDefault="00377BBF" w:rsidP="000A45AC">
    <w:pPr>
      <w:pStyle w:val="Header"/>
      <w:pBdr>
        <w:bottom w:val="single" w:sz="4" w:space="1" w:color="auto"/>
      </w:pBdr>
      <w:tabs>
        <w:tab w:val="clear" w:pos="4153"/>
        <w:tab w:val="clear" w:pos="8306"/>
        <w:tab w:val="left" w:pos="2685"/>
      </w:tabs>
      <w:jc w:val="left"/>
      <w:rPr>
        <w:rStyle w:val="PageNumber"/>
      </w:rPr>
    </w:pPr>
    <w:r>
      <w:t>Page 14</w:t>
    </w:r>
  </w:p>
  <w:p w14:paraId="408E802B" w14:textId="77777777" w:rsidR="00377BBF" w:rsidRDefault="00377BB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F157" w14:textId="77777777" w:rsidR="00377BBF" w:rsidRPr="00F66FF7" w:rsidRDefault="00377BBF" w:rsidP="000A45AC">
    <w:pPr>
      <w:pStyle w:val="Header"/>
      <w:pBdr>
        <w:bottom w:val="single" w:sz="4" w:space="1" w:color="auto"/>
      </w:pBdr>
      <w:jc w:val="left"/>
      <w:rPr>
        <w:lang w:val="fr-FR"/>
      </w:rPr>
    </w:pPr>
    <w:r w:rsidRPr="00F66FF7">
      <w:rPr>
        <w:lang w:val="fr-FR"/>
      </w:rPr>
      <w:t>ISWG-GHG 16/2/XX</w:t>
    </w:r>
  </w:p>
  <w:p w14:paraId="67E48340" w14:textId="3E4B2C60" w:rsidR="00377BBF" w:rsidRPr="00F66FF7" w:rsidRDefault="00377BBF" w:rsidP="000A45AC">
    <w:pPr>
      <w:pStyle w:val="Header"/>
      <w:pBdr>
        <w:bottom w:val="single" w:sz="4" w:space="1" w:color="auto"/>
      </w:pBdr>
      <w:tabs>
        <w:tab w:val="clear" w:pos="4153"/>
        <w:tab w:val="clear" w:pos="8306"/>
        <w:tab w:val="left" w:pos="2685"/>
      </w:tabs>
      <w:jc w:val="left"/>
      <w:rPr>
        <w:rStyle w:val="PageNumber"/>
        <w:lang w:val="fr-FR"/>
      </w:rPr>
    </w:pPr>
    <w:r w:rsidRPr="00F66FF7">
      <w:rPr>
        <w:lang w:val="fr-FR"/>
      </w:rPr>
      <w:t>Annex 1, Page 2</w:t>
    </w:r>
  </w:p>
  <w:p w14:paraId="448C16A0" w14:textId="77777777" w:rsidR="00377BBF" w:rsidRPr="00F66FF7" w:rsidRDefault="00377BBF">
    <w:pP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11BC" w14:textId="77777777" w:rsidR="00377BBF" w:rsidRDefault="00377BBF" w:rsidP="00CA1E0A">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DE7" w14:textId="77777777" w:rsidR="00377BBF" w:rsidRPr="00F66FF7" w:rsidRDefault="00377BBF" w:rsidP="000A45AC">
    <w:pPr>
      <w:pStyle w:val="Header"/>
      <w:pBdr>
        <w:bottom w:val="single" w:sz="4" w:space="1" w:color="auto"/>
      </w:pBdr>
      <w:jc w:val="left"/>
      <w:rPr>
        <w:lang w:val="fr-FR"/>
      </w:rPr>
    </w:pPr>
    <w:r w:rsidRPr="00F66FF7">
      <w:rPr>
        <w:lang w:val="fr-FR"/>
      </w:rPr>
      <w:t>ISWG-GHG 16/2/XX</w:t>
    </w:r>
  </w:p>
  <w:p w14:paraId="7F1BB0AE" w14:textId="386BCF0F" w:rsidR="00377BBF" w:rsidRPr="00F66FF7" w:rsidRDefault="00377BBF" w:rsidP="000A45AC">
    <w:pPr>
      <w:pStyle w:val="Header"/>
      <w:pBdr>
        <w:bottom w:val="single" w:sz="4" w:space="1" w:color="auto"/>
      </w:pBdr>
      <w:tabs>
        <w:tab w:val="clear" w:pos="4153"/>
        <w:tab w:val="clear" w:pos="8306"/>
        <w:tab w:val="left" w:pos="2685"/>
      </w:tabs>
      <w:jc w:val="left"/>
      <w:rPr>
        <w:rStyle w:val="PageNumber"/>
        <w:lang w:val="fr-FR"/>
      </w:rPr>
    </w:pPr>
    <w:r w:rsidRPr="00F66FF7">
      <w:rPr>
        <w:lang w:val="fr-FR"/>
      </w:rPr>
      <w:t>Annex 1, Page 4</w:t>
    </w:r>
  </w:p>
  <w:p w14:paraId="6455F447" w14:textId="77777777" w:rsidR="00377BBF" w:rsidRPr="00F66FF7" w:rsidRDefault="00377BBF">
    <w:pPr>
      <w:rPr>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0251" w14:textId="77777777" w:rsidR="00377BBF" w:rsidRPr="00F66FF7" w:rsidRDefault="00377BBF" w:rsidP="000A45AC">
    <w:pPr>
      <w:jc w:val="right"/>
      <w:rPr>
        <w:lang w:val="fr-FR"/>
      </w:rPr>
    </w:pPr>
    <w:r w:rsidRPr="00F66FF7">
      <w:rPr>
        <w:lang w:val="fr-FR"/>
      </w:rPr>
      <w:t>ISWG-GHG 16/2/XX</w:t>
    </w:r>
  </w:p>
  <w:p w14:paraId="4828A595" w14:textId="40D80013" w:rsidR="00377BBF" w:rsidRPr="00F66FF7" w:rsidRDefault="00377BBF">
    <w:pPr>
      <w:pStyle w:val="Header"/>
      <w:pBdr>
        <w:bottom w:val="single" w:sz="4" w:space="1" w:color="auto"/>
      </w:pBdr>
      <w:jc w:val="right"/>
      <w:rPr>
        <w:lang w:val="fr-FR"/>
      </w:rPr>
    </w:pPr>
    <w:r w:rsidRPr="00F66FF7">
      <w:rPr>
        <w:lang w:val="fr-FR"/>
      </w:rPr>
      <w:t>Annex 1, Page 3</w:t>
    </w:r>
  </w:p>
  <w:p w14:paraId="5A651BE5" w14:textId="77777777" w:rsidR="00377BBF" w:rsidRPr="00F66FF7" w:rsidRDefault="00377BBF">
    <w:pPr>
      <w:rPr>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ABB6" w14:textId="77777777" w:rsidR="00377BBF" w:rsidRPr="00F66FF7" w:rsidRDefault="00377BBF" w:rsidP="000A45AC">
    <w:pPr>
      <w:pStyle w:val="Header"/>
      <w:pBdr>
        <w:bottom w:val="single" w:sz="4" w:space="1" w:color="auto"/>
      </w:pBdr>
      <w:jc w:val="left"/>
      <w:rPr>
        <w:lang w:val="fr-FR"/>
      </w:rPr>
    </w:pPr>
    <w:r w:rsidRPr="00F66FF7">
      <w:rPr>
        <w:lang w:val="fr-FR"/>
      </w:rPr>
      <w:t>ISWG-GHG 16/2/XX</w:t>
    </w:r>
  </w:p>
  <w:p w14:paraId="5CA40EB3" w14:textId="0A871BCF" w:rsidR="00377BBF" w:rsidRPr="00F66FF7" w:rsidRDefault="00377BBF" w:rsidP="000A45AC">
    <w:pPr>
      <w:pStyle w:val="Header"/>
      <w:pBdr>
        <w:bottom w:val="single" w:sz="4" w:space="1" w:color="auto"/>
      </w:pBdr>
      <w:tabs>
        <w:tab w:val="clear" w:pos="4153"/>
        <w:tab w:val="clear" w:pos="8306"/>
        <w:tab w:val="left" w:pos="2685"/>
      </w:tabs>
      <w:jc w:val="left"/>
      <w:rPr>
        <w:rStyle w:val="PageNumber"/>
        <w:lang w:val="fr-FR"/>
      </w:rPr>
    </w:pPr>
    <w:r w:rsidRPr="00F66FF7">
      <w:rPr>
        <w:lang w:val="fr-FR"/>
      </w:rPr>
      <w:t>Annex 1, Page 6</w:t>
    </w:r>
  </w:p>
  <w:p w14:paraId="1CD4E1F7" w14:textId="77777777" w:rsidR="00377BBF" w:rsidRPr="00F66FF7" w:rsidRDefault="00377BBF">
    <w:pPr>
      <w:rPr>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8B91" w14:textId="77777777" w:rsidR="00377BBF" w:rsidRPr="00F66FF7" w:rsidRDefault="00377BBF" w:rsidP="000A45AC">
    <w:pPr>
      <w:jc w:val="right"/>
      <w:rPr>
        <w:lang w:val="fr-FR"/>
      </w:rPr>
    </w:pPr>
    <w:r w:rsidRPr="00F66FF7">
      <w:rPr>
        <w:lang w:val="fr-FR"/>
      </w:rPr>
      <w:t>ISWG-GHG 16/2/XX</w:t>
    </w:r>
  </w:p>
  <w:p w14:paraId="2FE6EEBA" w14:textId="06EDAFC5" w:rsidR="00377BBF" w:rsidRPr="00F66FF7" w:rsidRDefault="00377BBF">
    <w:pPr>
      <w:pStyle w:val="Header"/>
      <w:pBdr>
        <w:bottom w:val="single" w:sz="4" w:space="1" w:color="auto"/>
      </w:pBdr>
      <w:jc w:val="right"/>
      <w:rPr>
        <w:lang w:val="fr-FR"/>
      </w:rPr>
    </w:pPr>
    <w:r w:rsidRPr="00F66FF7">
      <w:rPr>
        <w:lang w:val="fr-FR"/>
      </w:rPr>
      <w:t>Annex 1, Page 5</w:t>
    </w:r>
  </w:p>
  <w:p w14:paraId="49612020" w14:textId="77777777" w:rsidR="00377BBF" w:rsidRPr="00F66FF7" w:rsidRDefault="00377BBF">
    <w:pPr>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16D8" w14:textId="77777777" w:rsidR="00377BBF" w:rsidRPr="00F66FF7" w:rsidRDefault="00377BBF">
    <w:pPr>
      <w:pStyle w:val="Header"/>
      <w:tabs>
        <w:tab w:val="clear" w:pos="851"/>
        <w:tab w:val="clear" w:pos="4153"/>
        <w:tab w:val="clear" w:pos="8306"/>
        <w:tab w:val="left" w:pos="7421"/>
      </w:tabs>
      <w:jc w:val="right"/>
      <w:rPr>
        <w:lang w:val="fr-FR"/>
      </w:rPr>
    </w:pPr>
    <w:r w:rsidRPr="00F66FF7">
      <w:rPr>
        <w:lang w:val="fr-FR"/>
      </w:rPr>
      <w:t>ISWG-GHG 16/2/XX</w:t>
    </w:r>
  </w:p>
  <w:p w14:paraId="29530EE6" w14:textId="77777777" w:rsidR="00377BBF" w:rsidRPr="00F66FF7" w:rsidRDefault="00377BBF">
    <w:pPr>
      <w:pStyle w:val="Header"/>
      <w:pBdr>
        <w:bottom w:val="single" w:sz="4" w:space="1" w:color="auto"/>
      </w:pBdr>
      <w:jc w:val="right"/>
      <w:rPr>
        <w:lang w:val="fr-FR"/>
      </w:rPr>
    </w:pPr>
    <w:r w:rsidRPr="00F66FF7">
      <w:rPr>
        <w:lang w:val="fr-FR"/>
      </w:rPr>
      <w:t>Annex 1, Page 7</w:t>
    </w:r>
  </w:p>
  <w:p w14:paraId="726F4A65" w14:textId="77777777" w:rsidR="00377BBF" w:rsidRPr="00F66FF7" w:rsidRDefault="00377BBF">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0CA0" w14:textId="77777777" w:rsidR="00377BBF" w:rsidRDefault="00377BBF" w:rsidP="000A45AC">
    <w:pPr>
      <w:jc w:val="right"/>
    </w:pPr>
    <w:r>
      <w:t>ISWG-GHG 16/2/XX</w:t>
    </w:r>
  </w:p>
  <w:p w14:paraId="1EE327F3" w14:textId="7F21E2AF" w:rsidR="00377BBF" w:rsidRDefault="00377BBF">
    <w:pPr>
      <w:pStyle w:val="Header"/>
      <w:pBdr>
        <w:bottom w:val="single" w:sz="4" w:space="1" w:color="auto"/>
      </w:pBdr>
      <w:jc w:val="right"/>
    </w:pPr>
    <w:r>
      <w:t>Page 3</w:t>
    </w:r>
  </w:p>
  <w:p w14:paraId="0B80563E" w14:textId="77777777" w:rsidR="00377BBF" w:rsidRDefault="00377BB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3890" w14:textId="77777777" w:rsidR="00377BBF" w:rsidRPr="00F66FF7" w:rsidRDefault="00377BBF" w:rsidP="000A45AC">
    <w:pPr>
      <w:pStyle w:val="Header"/>
      <w:pBdr>
        <w:bottom w:val="single" w:sz="4" w:space="1" w:color="auto"/>
      </w:pBdr>
      <w:jc w:val="left"/>
      <w:rPr>
        <w:lang w:val="fr-FR"/>
      </w:rPr>
    </w:pPr>
    <w:r w:rsidRPr="00F66FF7">
      <w:rPr>
        <w:lang w:val="fr-FR"/>
      </w:rPr>
      <w:t>ISWG-GHG 16/2/XX</w:t>
    </w:r>
  </w:p>
  <w:p w14:paraId="1305C9FA" w14:textId="77777777" w:rsidR="00377BBF" w:rsidRPr="00F66FF7" w:rsidRDefault="00377BBF" w:rsidP="000A45AC">
    <w:pPr>
      <w:pStyle w:val="Header"/>
      <w:pBdr>
        <w:bottom w:val="single" w:sz="4" w:space="1" w:color="auto"/>
      </w:pBdr>
      <w:jc w:val="left"/>
      <w:rPr>
        <w:rStyle w:val="PageNumber"/>
        <w:lang w:val="fr-FR"/>
      </w:rPr>
    </w:pPr>
    <w:r w:rsidRPr="00F66FF7">
      <w:rPr>
        <w:lang w:val="fr-FR"/>
      </w:rPr>
      <w:t>Annex 2, Page 1</w:t>
    </w:r>
  </w:p>
  <w:p w14:paraId="6022313E" w14:textId="77777777" w:rsidR="00377BBF" w:rsidRPr="00F66FF7" w:rsidRDefault="00377BBF" w:rsidP="000A45AC">
    <w:pPr>
      <w:jc w:val="left"/>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8CB5" w14:textId="77777777" w:rsidR="00377BBF" w:rsidRPr="00F66FF7" w:rsidRDefault="00377BBF" w:rsidP="000A45AC">
    <w:pPr>
      <w:pStyle w:val="Header"/>
      <w:pBdr>
        <w:bottom w:val="single" w:sz="4" w:space="1" w:color="auto"/>
      </w:pBdr>
      <w:jc w:val="right"/>
      <w:rPr>
        <w:lang w:val="fr-FR"/>
      </w:rPr>
    </w:pPr>
    <w:r w:rsidRPr="00F66FF7">
      <w:rPr>
        <w:lang w:val="fr-FR"/>
      </w:rPr>
      <w:t>ISWG-GHG 16/2/XX</w:t>
    </w:r>
  </w:p>
  <w:p w14:paraId="4D2FAD5B" w14:textId="77777777" w:rsidR="00377BBF" w:rsidRPr="00F66FF7" w:rsidRDefault="00377BBF" w:rsidP="000A45AC">
    <w:pPr>
      <w:pStyle w:val="Header"/>
      <w:pBdr>
        <w:bottom w:val="single" w:sz="4" w:space="1" w:color="auto"/>
      </w:pBdr>
      <w:jc w:val="right"/>
      <w:rPr>
        <w:lang w:val="fr-FR"/>
      </w:rPr>
    </w:pPr>
    <w:r w:rsidRPr="00F66FF7">
      <w:rPr>
        <w:lang w:val="fr-FR"/>
      </w:rPr>
      <w:t>Annex 2, Page 2</w:t>
    </w:r>
  </w:p>
  <w:p w14:paraId="391A5F57" w14:textId="77777777" w:rsidR="00377BBF" w:rsidRPr="00F66FF7" w:rsidRDefault="00377BBF" w:rsidP="000A45AC">
    <w:pPr>
      <w:jc w:val="right"/>
      <w:rPr>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B2F2" w14:textId="71DC1305" w:rsidR="00377BBF" w:rsidRPr="00F66FF7" w:rsidRDefault="00377BBF" w:rsidP="00B554DB">
    <w:pPr>
      <w:pBdr>
        <w:bottom w:val="single" w:sz="4" w:space="1" w:color="auto"/>
      </w:pBdr>
      <w:rPr>
        <w:lang w:val="fr-FR"/>
      </w:rPr>
    </w:pPr>
    <w:r w:rsidRPr="00F66FF7">
      <w:rPr>
        <w:lang w:val="fr-FR"/>
      </w:rPr>
      <w:t>ISWG-GHG 16/2/XX</w:t>
    </w:r>
  </w:p>
  <w:p w14:paraId="22D2ACA4" w14:textId="64FE0F83" w:rsidR="00377BBF" w:rsidRPr="00F66FF7" w:rsidRDefault="00377BBF" w:rsidP="00B554DB">
    <w:pPr>
      <w:pBdr>
        <w:bottom w:val="single" w:sz="4" w:space="1" w:color="auto"/>
      </w:pBdr>
      <w:rPr>
        <w:lang w:val="fr-FR"/>
      </w:rPr>
    </w:pPr>
    <w:r w:rsidRPr="00F66FF7">
      <w:rPr>
        <w:lang w:val="fr-FR"/>
      </w:rPr>
      <w:t>Annex 2, Page 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8FE9" w14:textId="77777777" w:rsidR="00377BBF" w:rsidRPr="00F66FF7" w:rsidRDefault="00377BBF" w:rsidP="000A45AC">
    <w:pPr>
      <w:pStyle w:val="Header"/>
      <w:pBdr>
        <w:bottom w:val="single" w:sz="4" w:space="1" w:color="auto"/>
      </w:pBdr>
      <w:jc w:val="left"/>
      <w:rPr>
        <w:lang w:val="fr-FR"/>
      </w:rPr>
    </w:pPr>
    <w:r w:rsidRPr="00F66FF7">
      <w:rPr>
        <w:lang w:val="fr-FR"/>
      </w:rPr>
      <w:t>ISWG-GHG 16/2/XX</w:t>
    </w:r>
  </w:p>
  <w:p w14:paraId="630BBB9A" w14:textId="7C1F89EF" w:rsidR="00377BBF" w:rsidRPr="00F66FF7" w:rsidRDefault="00377BBF" w:rsidP="000A45AC">
    <w:pPr>
      <w:pStyle w:val="Header"/>
      <w:pBdr>
        <w:bottom w:val="single" w:sz="4" w:space="1" w:color="auto"/>
      </w:pBdr>
      <w:jc w:val="left"/>
      <w:rPr>
        <w:rStyle w:val="PageNumber"/>
        <w:lang w:val="fr-FR"/>
      </w:rPr>
    </w:pPr>
    <w:r w:rsidRPr="00F66FF7">
      <w:rPr>
        <w:lang w:val="fr-FR"/>
      </w:rPr>
      <w:t>Annex 3, Page 1</w:t>
    </w:r>
  </w:p>
  <w:p w14:paraId="5428FA9B" w14:textId="77777777" w:rsidR="00377BBF" w:rsidRPr="00F66FF7" w:rsidRDefault="00377BBF">
    <w:pPr>
      <w:rPr>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7F6A" w14:textId="77777777" w:rsidR="00377BBF" w:rsidRPr="00F66FF7" w:rsidRDefault="00377BBF">
    <w:pPr>
      <w:pStyle w:val="Header"/>
      <w:tabs>
        <w:tab w:val="clear" w:pos="851"/>
        <w:tab w:val="clear" w:pos="4153"/>
        <w:tab w:val="clear" w:pos="8306"/>
        <w:tab w:val="left" w:pos="7421"/>
      </w:tabs>
      <w:jc w:val="right"/>
      <w:rPr>
        <w:lang w:val="fr-FR"/>
      </w:rPr>
    </w:pPr>
    <w:r w:rsidRPr="00F66FF7">
      <w:rPr>
        <w:lang w:val="fr-FR"/>
      </w:rPr>
      <w:t xml:space="preserve">ISWG-GHG 16/2/XX </w:t>
    </w:r>
  </w:p>
  <w:p w14:paraId="5215FD9E" w14:textId="77777777" w:rsidR="00377BBF" w:rsidRPr="00F66FF7" w:rsidRDefault="00377BBF">
    <w:pPr>
      <w:pStyle w:val="Header"/>
      <w:pBdr>
        <w:bottom w:val="single" w:sz="4" w:space="1" w:color="auto"/>
      </w:pBdr>
      <w:jc w:val="right"/>
      <w:rPr>
        <w:lang w:val="fr-FR"/>
      </w:rPr>
    </w:pPr>
    <w:r w:rsidRPr="00F66FF7">
      <w:rPr>
        <w:lang w:val="fr-FR"/>
      </w:rPr>
      <w:t>Annex 3. Page 2</w:t>
    </w:r>
  </w:p>
  <w:p w14:paraId="30AF76D5" w14:textId="77777777" w:rsidR="00377BBF" w:rsidRPr="00F66FF7" w:rsidRDefault="00377BBF">
    <w:pPr>
      <w:rPr>
        <w:lang w:val="fr-F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5A09" w14:textId="66EBCC3D" w:rsidR="00377BBF" w:rsidRDefault="00377BBF" w:rsidP="000A45AC">
    <w:pPr>
      <w:pStyle w:val="Header"/>
      <w:pBdr>
        <w:bottom w:val="single" w:sz="4" w:space="1" w:color="auto"/>
      </w:pBdr>
      <w:jc w:val="left"/>
    </w:pPr>
    <w:r>
      <w:t>ISWG-GHG 16/2/</w:t>
    </w:r>
    <w:r w:rsidR="000F4CED">
      <w:t>3</w:t>
    </w:r>
  </w:p>
  <w:p w14:paraId="16BCE004" w14:textId="20AA475C" w:rsidR="00377BBF" w:rsidRDefault="00377BBF" w:rsidP="000A45AC">
    <w:pPr>
      <w:pStyle w:val="Header"/>
      <w:pBdr>
        <w:bottom w:val="single" w:sz="4" w:space="1" w:color="auto"/>
      </w:pBdr>
      <w:jc w:val="left"/>
      <w:rPr>
        <w:rStyle w:val="PageNumber"/>
      </w:rPr>
    </w:pPr>
    <w:r>
      <w:t>Annex 3, Page 3</w:t>
    </w:r>
  </w:p>
  <w:p w14:paraId="66EABDA3" w14:textId="77777777" w:rsidR="00377BBF" w:rsidRDefault="00377BB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D9CF" w14:textId="77777777" w:rsidR="00377BBF" w:rsidRDefault="00377BBF" w:rsidP="00717690">
    <w:pPr>
      <w:pStyle w:val="Header"/>
      <w:tabs>
        <w:tab w:val="clear" w:pos="851"/>
        <w:tab w:val="clear" w:pos="4153"/>
        <w:tab w:val="clear" w:pos="8306"/>
        <w:tab w:val="left" w:pos="7421"/>
      </w:tabs>
      <w:jc w:val="right"/>
    </w:pPr>
    <w:r>
      <w:t>ISWG-GHG 16/2/X</w:t>
    </w:r>
  </w:p>
  <w:p w14:paraId="5B6FBE2F" w14:textId="3234D413" w:rsidR="00377BBF" w:rsidRDefault="00377BBF" w:rsidP="00717690">
    <w:pPr>
      <w:pStyle w:val="Header"/>
      <w:jc w:val="right"/>
    </w:pPr>
    <w:r>
      <w:t>Page 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CAD1" w14:textId="2FB8ABF4" w:rsidR="00377BBF" w:rsidRDefault="00377BBF" w:rsidP="00635854">
    <w:pPr>
      <w:pStyle w:val="Header"/>
      <w:tabs>
        <w:tab w:val="clear" w:pos="851"/>
        <w:tab w:val="clear" w:pos="4153"/>
        <w:tab w:val="clear" w:pos="8306"/>
        <w:tab w:val="left" w:pos="7421"/>
      </w:tabs>
      <w:jc w:val="left"/>
    </w:pPr>
    <w:r>
      <w:t>ISWG-GHG 16/2/X</w:t>
    </w:r>
  </w:p>
  <w:p w14:paraId="4475C045" w14:textId="3F3A201D" w:rsidR="00377BBF" w:rsidRDefault="00377BBF" w:rsidP="00635854">
    <w:pPr>
      <w:pStyle w:val="Header"/>
      <w:pBdr>
        <w:bottom w:val="single" w:sz="4" w:space="1" w:color="auto"/>
      </w:pBdr>
      <w:jc w:val="left"/>
    </w:pPr>
    <w:r>
      <w:t>Page 7</w:t>
    </w:r>
  </w:p>
  <w:p w14:paraId="745DE12B" w14:textId="77777777" w:rsidR="00377BBF" w:rsidRDefault="00377B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3DF" w14:textId="3A9C877E" w:rsidR="00377BBF" w:rsidRDefault="00377BBF" w:rsidP="00CA1E0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C25" w14:textId="77777777" w:rsidR="00377BBF" w:rsidRDefault="00377BBF" w:rsidP="000A45AC">
    <w:pPr>
      <w:pStyle w:val="Header"/>
      <w:pBdr>
        <w:bottom w:val="single" w:sz="4" w:space="1" w:color="auto"/>
      </w:pBdr>
      <w:jc w:val="left"/>
    </w:pPr>
    <w:r>
      <w:t>ISWG-GHG 16/2/XX</w:t>
    </w:r>
  </w:p>
  <w:p w14:paraId="1D217957" w14:textId="2593CC84" w:rsidR="00377BBF" w:rsidRDefault="00377BBF" w:rsidP="000A45AC">
    <w:pPr>
      <w:pStyle w:val="Header"/>
      <w:pBdr>
        <w:bottom w:val="single" w:sz="4" w:space="1" w:color="auto"/>
      </w:pBdr>
      <w:tabs>
        <w:tab w:val="clear" w:pos="4153"/>
        <w:tab w:val="clear" w:pos="8306"/>
        <w:tab w:val="left" w:pos="2685"/>
      </w:tabs>
      <w:jc w:val="left"/>
      <w:rPr>
        <w:rStyle w:val="PageNumber"/>
      </w:rPr>
    </w:pPr>
    <w:r>
      <w:t>Page 6</w:t>
    </w:r>
  </w:p>
  <w:p w14:paraId="2838C68A" w14:textId="77777777" w:rsidR="00377BBF" w:rsidRDefault="00377B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7D41" w14:textId="77777777" w:rsidR="00377BBF" w:rsidRDefault="00377BBF" w:rsidP="000A45AC">
    <w:pPr>
      <w:jc w:val="right"/>
    </w:pPr>
    <w:r>
      <w:t>ISWG-GHG 16/2/XX</w:t>
    </w:r>
  </w:p>
  <w:p w14:paraId="75D91488" w14:textId="5D8E1DF8" w:rsidR="00377BBF" w:rsidRDefault="00377BBF">
    <w:pPr>
      <w:pStyle w:val="Header"/>
      <w:pBdr>
        <w:bottom w:val="single" w:sz="4" w:space="1" w:color="auto"/>
      </w:pBdr>
      <w:jc w:val="right"/>
    </w:pPr>
    <w:r>
      <w:t>Page 5</w:t>
    </w:r>
  </w:p>
  <w:p w14:paraId="23F5913B" w14:textId="77777777" w:rsidR="00377BBF" w:rsidRDefault="00377B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12D2" w14:textId="77777777" w:rsidR="00377BBF" w:rsidRDefault="00377BBF" w:rsidP="000A45AC">
    <w:pPr>
      <w:pStyle w:val="Header"/>
      <w:pBdr>
        <w:bottom w:val="single" w:sz="4" w:space="1" w:color="auto"/>
      </w:pBdr>
      <w:jc w:val="left"/>
    </w:pPr>
    <w:r>
      <w:t>ISWG-GHG 16/2/XX</w:t>
    </w:r>
  </w:p>
  <w:p w14:paraId="4A01E51F" w14:textId="316F5278" w:rsidR="00377BBF" w:rsidRDefault="00377BBF" w:rsidP="000A45AC">
    <w:pPr>
      <w:pStyle w:val="Header"/>
      <w:pBdr>
        <w:bottom w:val="single" w:sz="4" w:space="1" w:color="auto"/>
      </w:pBdr>
      <w:tabs>
        <w:tab w:val="clear" w:pos="4153"/>
        <w:tab w:val="clear" w:pos="8306"/>
        <w:tab w:val="left" w:pos="2685"/>
      </w:tabs>
      <w:jc w:val="left"/>
      <w:rPr>
        <w:rStyle w:val="PageNumber"/>
      </w:rPr>
    </w:pPr>
    <w:r>
      <w:t>Page 8</w:t>
    </w:r>
  </w:p>
  <w:p w14:paraId="45BFA037" w14:textId="77777777" w:rsidR="00377BBF" w:rsidRDefault="00377BB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AC38" w14:textId="77777777" w:rsidR="00377BBF" w:rsidRDefault="00377BBF" w:rsidP="000A45AC">
    <w:pPr>
      <w:jc w:val="right"/>
    </w:pPr>
    <w:r>
      <w:t>ISWG-GHG 16/2/XX</w:t>
    </w:r>
  </w:p>
  <w:p w14:paraId="2D5BC486" w14:textId="524CD280" w:rsidR="00377BBF" w:rsidRDefault="00377BBF">
    <w:pPr>
      <w:pStyle w:val="Header"/>
      <w:pBdr>
        <w:bottom w:val="single" w:sz="4" w:space="1" w:color="auto"/>
      </w:pBdr>
      <w:jc w:val="right"/>
    </w:pPr>
    <w:r>
      <w:t>Page 7</w:t>
    </w:r>
  </w:p>
  <w:p w14:paraId="348F1CE6" w14:textId="77777777" w:rsidR="00377BBF" w:rsidRDefault="00377BB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FC0F" w14:textId="77777777" w:rsidR="00377BBF" w:rsidRDefault="00377BBF" w:rsidP="000A45AC">
    <w:pPr>
      <w:pStyle w:val="Header"/>
      <w:pBdr>
        <w:bottom w:val="single" w:sz="4" w:space="1" w:color="auto"/>
      </w:pBdr>
      <w:jc w:val="left"/>
    </w:pPr>
    <w:r>
      <w:t>ISWG-GHG 16/2/XX</w:t>
    </w:r>
  </w:p>
  <w:p w14:paraId="7295C402" w14:textId="2F6F8D5E" w:rsidR="00377BBF" w:rsidRDefault="00377BBF" w:rsidP="000A45AC">
    <w:pPr>
      <w:pStyle w:val="Header"/>
      <w:pBdr>
        <w:bottom w:val="single" w:sz="4" w:space="1" w:color="auto"/>
      </w:pBdr>
      <w:tabs>
        <w:tab w:val="clear" w:pos="4153"/>
        <w:tab w:val="clear" w:pos="8306"/>
        <w:tab w:val="left" w:pos="2685"/>
      </w:tabs>
      <w:jc w:val="left"/>
      <w:rPr>
        <w:rStyle w:val="PageNumber"/>
      </w:rPr>
    </w:pPr>
    <w:r>
      <w:t>Page 10</w:t>
    </w:r>
  </w:p>
  <w:p w14:paraId="768D649A" w14:textId="77777777" w:rsidR="00377BBF" w:rsidRDefault="00377BB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92EF" w14:textId="77777777" w:rsidR="00377BBF" w:rsidRDefault="00377BBF" w:rsidP="000A45AC">
    <w:pPr>
      <w:jc w:val="right"/>
    </w:pPr>
    <w:r>
      <w:t>ISWG-GHG 16/2/XX</w:t>
    </w:r>
  </w:p>
  <w:p w14:paraId="5E72A9F2" w14:textId="540CC613" w:rsidR="00377BBF" w:rsidRDefault="00377BBF">
    <w:pPr>
      <w:pStyle w:val="Header"/>
      <w:pBdr>
        <w:bottom w:val="single" w:sz="4" w:space="1" w:color="auto"/>
      </w:pBdr>
      <w:jc w:val="right"/>
    </w:pPr>
    <w:r>
      <w:t>Page 9</w:t>
    </w:r>
  </w:p>
  <w:p w14:paraId="6FEEA1EC" w14:textId="77777777" w:rsidR="00377BBF" w:rsidRDefault="00377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87238"/>
    <w:multiLevelType w:val="hybridMultilevel"/>
    <w:tmpl w:val="DFEEA58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160468"/>
    <w:multiLevelType w:val="hybridMultilevel"/>
    <w:tmpl w:val="8EB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462AF9"/>
    <w:multiLevelType w:val="hybridMultilevel"/>
    <w:tmpl w:val="8468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57B78"/>
    <w:multiLevelType w:val="hybridMultilevel"/>
    <w:tmpl w:val="CE9A6108"/>
    <w:lvl w:ilvl="0" w:tplc="ACA8183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8C3340B"/>
    <w:multiLevelType w:val="hybridMultilevel"/>
    <w:tmpl w:val="70E6AED6"/>
    <w:lvl w:ilvl="0" w:tplc="F7D8B8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E735985"/>
    <w:multiLevelType w:val="hybridMultilevel"/>
    <w:tmpl w:val="F9B2C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462DB"/>
    <w:multiLevelType w:val="hybridMultilevel"/>
    <w:tmpl w:val="1E830A6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1A1BF5"/>
    <w:multiLevelType w:val="hybridMultilevel"/>
    <w:tmpl w:val="5906B108"/>
    <w:lvl w:ilvl="0" w:tplc="F110B9D2">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2531E58"/>
    <w:multiLevelType w:val="hybridMultilevel"/>
    <w:tmpl w:val="9216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B3E0D"/>
    <w:multiLevelType w:val="hybridMultilevel"/>
    <w:tmpl w:val="38D47C00"/>
    <w:lvl w:ilvl="0" w:tplc="52DC4520">
      <w:start w:val="4"/>
      <w:numFmt w:val="bullet"/>
      <w:lvlText w:val="-"/>
      <w:lvlJc w:val="left"/>
      <w:pPr>
        <w:ind w:left="2061" w:hanging="360"/>
      </w:pPr>
      <w:rPr>
        <w:rFonts w:ascii="Arial" w:eastAsia="MS Gothic"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524B5A85"/>
    <w:multiLevelType w:val="hybridMultilevel"/>
    <w:tmpl w:val="DB38A2E8"/>
    <w:lvl w:ilvl="0" w:tplc="08090001">
      <w:start w:val="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A0504"/>
    <w:multiLevelType w:val="hybridMultilevel"/>
    <w:tmpl w:val="C864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A0740"/>
    <w:multiLevelType w:val="hybridMultilevel"/>
    <w:tmpl w:val="BD52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E4545"/>
    <w:multiLevelType w:val="hybridMultilevel"/>
    <w:tmpl w:val="1012FE96"/>
    <w:lvl w:ilvl="0" w:tplc="06A2EEF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2153E"/>
    <w:multiLevelType w:val="hybridMultilevel"/>
    <w:tmpl w:val="2284741C"/>
    <w:lvl w:ilvl="0" w:tplc="44805D56">
      <w:start w:val="7"/>
      <w:numFmt w:val="bullet"/>
      <w:lvlText w:val="•"/>
      <w:lvlJc w:val="left"/>
      <w:pPr>
        <w:ind w:left="1211" w:hanging="360"/>
      </w:pPr>
      <w:rPr>
        <w:rFonts w:ascii="Arial" w:eastAsia="MS Gothic"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6A6F1F31"/>
    <w:multiLevelType w:val="hybridMultilevel"/>
    <w:tmpl w:val="8F9874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13C6297"/>
    <w:multiLevelType w:val="hybridMultilevel"/>
    <w:tmpl w:val="FD020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C486B"/>
    <w:multiLevelType w:val="hybridMultilevel"/>
    <w:tmpl w:val="FB64EB0E"/>
    <w:lvl w:ilvl="0" w:tplc="44805D56">
      <w:start w:val="7"/>
      <w:numFmt w:val="bullet"/>
      <w:lvlText w:val="•"/>
      <w:lvlJc w:val="left"/>
      <w:pPr>
        <w:ind w:left="1211" w:hanging="360"/>
      </w:pPr>
      <w:rPr>
        <w:rFonts w:ascii="Arial" w:eastAsia="MS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D58E5"/>
    <w:multiLevelType w:val="hybridMultilevel"/>
    <w:tmpl w:val="CC849C42"/>
    <w:lvl w:ilvl="0" w:tplc="08090001">
      <w:start w:val="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78F3"/>
    <w:multiLevelType w:val="hybridMultilevel"/>
    <w:tmpl w:val="83666090"/>
    <w:lvl w:ilvl="0" w:tplc="418E7816">
      <w:start w:val="3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13832744">
    <w:abstractNumId w:val="7"/>
  </w:num>
  <w:num w:numId="2" w16cid:durableId="380910404">
    <w:abstractNumId w:val="5"/>
  </w:num>
  <w:num w:numId="3" w16cid:durableId="1050034336">
    <w:abstractNumId w:val="4"/>
  </w:num>
  <w:num w:numId="4" w16cid:durableId="52435635">
    <w:abstractNumId w:val="3"/>
  </w:num>
  <w:num w:numId="5" w16cid:durableId="781190913">
    <w:abstractNumId w:val="2"/>
  </w:num>
  <w:num w:numId="6" w16cid:durableId="1327630390">
    <w:abstractNumId w:val="6"/>
  </w:num>
  <w:num w:numId="7" w16cid:durableId="1161579652">
    <w:abstractNumId w:val="1"/>
  </w:num>
  <w:num w:numId="8" w16cid:durableId="500238688">
    <w:abstractNumId w:val="22"/>
  </w:num>
  <w:num w:numId="9" w16cid:durableId="1190872910">
    <w:abstractNumId w:val="0"/>
  </w:num>
  <w:num w:numId="10" w16cid:durableId="204947607">
    <w:abstractNumId w:val="13"/>
  </w:num>
  <w:num w:numId="11" w16cid:durableId="461995165">
    <w:abstractNumId w:val="11"/>
  </w:num>
  <w:num w:numId="12" w16cid:durableId="896554542">
    <w:abstractNumId w:val="18"/>
  </w:num>
  <w:num w:numId="13" w16cid:durableId="1767846095">
    <w:abstractNumId w:val="8"/>
  </w:num>
  <w:num w:numId="14" w16cid:durableId="471411382">
    <w:abstractNumId w:val="19"/>
  </w:num>
  <w:num w:numId="15" w16cid:durableId="464348216">
    <w:abstractNumId w:val="24"/>
  </w:num>
  <w:num w:numId="16" w16cid:durableId="782503228">
    <w:abstractNumId w:val="10"/>
  </w:num>
  <w:num w:numId="17" w16cid:durableId="213272202">
    <w:abstractNumId w:val="14"/>
  </w:num>
  <w:num w:numId="18" w16cid:durableId="1708095776">
    <w:abstractNumId w:val="16"/>
  </w:num>
  <w:num w:numId="19" w16cid:durableId="2101169613">
    <w:abstractNumId w:val="21"/>
  </w:num>
  <w:num w:numId="20" w16cid:durableId="1766264168">
    <w:abstractNumId w:val="9"/>
  </w:num>
  <w:num w:numId="21" w16cid:durableId="1804883363">
    <w:abstractNumId w:val="20"/>
  </w:num>
  <w:num w:numId="22" w16cid:durableId="1273434485">
    <w:abstractNumId w:val="17"/>
  </w:num>
  <w:num w:numId="23" w16cid:durableId="1665887627">
    <w:abstractNumId w:val="26"/>
  </w:num>
  <w:num w:numId="24" w16cid:durableId="731542284">
    <w:abstractNumId w:val="25"/>
  </w:num>
  <w:num w:numId="25" w16cid:durableId="679966865">
    <w:abstractNumId w:val="12"/>
  </w:num>
  <w:num w:numId="26" w16cid:durableId="278878992">
    <w:abstractNumId w:val="15"/>
  </w:num>
  <w:num w:numId="27" w16cid:durableId="18488674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nexno" w:val="1"/>
    <w:docVar w:name="AskAnnex" w:val="Yes"/>
    <w:docVar w:name="Div" w:val="  "/>
    <w:docVar w:name="SingleAnnex" w:val="No"/>
    <w:docVar w:name="Symbol" w:val="789"/>
  </w:docVars>
  <w:rsids>
    <w:rsidRoot w:val="00911084"/>
    <w:rsid w:val="00000104"/>
    <w:rsid w:val="00000388"/>
    <w:rsid w:val="00000703"/>
    <w:rsid w:val="00002172"/>
    <w:rsid w:val="00002578"/>
    <w:rsid w:val="0000268A"/>
    <w:rsid w:val="0000282A"/>
    <w:rsid w:val="00002F1B"/>
    <w:rsid w:val="0000314E"/>
    <w:rsid w:val="000037A7"/>
    <w:rsid w:val="00003953"/>
    <w:rsid w:val="00003A53"/>
    <w:rsid w:val="00003B3B"/>
    <w:rsid w:val="000040EC"/>
    <w:rsid w:val="000047D5"/>
    <w:rsid w:val="00004B65"/>
    <w:rsid w:val="00005CF2"/>
    <w:rsid w:val="00005D56"/>
    <w:rsid w:val="00005E26"/>
    <w:rsid w:val="0000604C"/>
    <w:rsid w:val="00006906"/>
    <w:rsid w:val="00006BB7"/>
    <w:rsid w:val="00006CAC"/>
    <w:rsid w:val="00006F4A"/>
    <w:rsid w:val="00007EB5"/>
    <w:rsid w:val="000102DB"/>
    <w:rsid w:val="00010334"/>
    <w:rsid w:val="00010793"/>
    <w:rsid w:val="00010870"/>
    <w:rsid w:val="00010922"/>
    <w:rsid w:val="00011345"/>
    <w:rsid w:val="00011365"/>
    <w:rsid w:val="000120DB"/>
    <w:rsid w:val="000121A6"/>
    <w:rsid w:val="000128C7"/>
    <w:rsid w:val="000129C1"/>
    <w:rsid w:val="00013A95"/>
    <w:rsid w:val="00013B64"/>
    <w:rsid w:val="00013BDB"/>
    <w:rsid w:val="0001447C"/>
    <w:rsid w:val="00014536"/>
    <w:rsid w:val="00014EFC"/>
    <w:rsid w:val="00015186"/>
    <w:rsid w:val="00015340"/>
    <w:rsid w:val="00015382"/>
    <w:rsid w:val="00015595"/>
    <w:rsid w:val="00015D3F"/>
    <w:rsid w:val="00016894"/>
    <w:rsid w:val="000168DE"/>
    <w:rsid w:val="00016A05"/>
    <w:rsid w:val="00016B0C"/>
    <w:rsid w:val="00016C5F"/>
    <w:rsid w:val="000174AE"/>
    <w:rsid w:val="00017896"/>
    <w:rsid w:val="00017B87"/>
    <w:rsid w:val="00017C0A"/>
    <w:rsid w:val="000205FF"/>
    <w:rsid w:val="00020B66"/>
    <w:rsid w:val="00022BCA"/>
    <w:rsid w:val="00022D02"/>
    <w:rsid w:val="00022E3F"/>
    <w:rsid w:val="0002361D"/>
    <w:rsid w:val="0002482D"/>
    <w:rsid w:val="0002499C"/>
    <w:rsid w:val="00024EAB"/>
    <w:rsid w:val="00025684"/>
    <w:rsid w:val="00025DD3"/>
    <w:rsid w:val="000261EC"/>
    <w:rsid w:val="00026555"/>
    <w:rsid w:val="000266B0"/>
    <w:rsid w:val="00026EF3"/>
    <w:rsid w:val="00027015"/>
    <w:rsid w:val="0002747E"/>
    <w:rsid w:val="00027582"/>
    <w:rsid w:val="00027B6C"/>
    <w:rsid w:val="00027F9B"/>
    <w:rsid w:val="00030155"/>
    <w:rsid w:val="00030291"/>
    <w:rsid w:val="000306B3"/>
    <w:rsid w:val="00030BFD"/>
    <w:rsid w:val="00030E1E"/>
    <w:rsid w:val="00031754"/>
    <w:rsid w:val="00031786"/>
    <w:rsid w:val="00031A2E"/>
    <w:rsid w:val="0003219E"/>
    <w:rsid w:val="00032B5C"/>
    <w:rsid w:val="00032D2B"/>
    <w:rsid w:val="00032F96"/>
    <w:rsid w:val="00033548"/>
    <w:rsid w:val="00033839"/>
    <w:rsid w:val="00033B7D"/>
    <w:rsid w:val="0003412C"/>
    <w:rsid w:val="000357DD"/>
    <w:rsid w:val="000359A1"/>
    <w:rsid w:val="00036AA4"/>
    <w:rsid w:val="00036DB9"/>
    <w:rsid w:val="00036EA2"/>
    <w:rsid w:val="000379C2"/>
    <w:rsid w:val="00037B46"/>
    <w:rsid w:val="00037DBF"/>
    <w:rsid w:val="00040945"/>
    <w:rsid w:val="00040B82"/>
    <w:rsid w:val="00040C50"/>
    <w:rsid w:val="00040D93"/>
    <w:rsid w:val="00040EB8"/>
    <w:rsid w:val="00041118"/>
    <w:rsid w:val="000412C4"/>
    <w:rsid w:val="00042903"/>
    <w:rsid w:val="00042954"/>
    <w:rsid w:val="00042A87"/>
    <w:rsid w:val="000432BC"/>
    <w:rsid w:val="00043903"/>
    <w:rsid w:val="00043AF1"/>
    <w:rsid w:val="00043C34"/>
    <w:rsid w:val="00043F7D"/>
    <w:rsid w:val="000471B9"/>
    <w:rsid w:val="000477F9"/>
    <w:rsid w:val="0004783C"/>
    <w:rsid w:val="000505BB"/>
    <w:rsid w:val="00050F23"/>
    <w:rsid w:val="000512B9"/>
    <w:rsid w:val="0005133D"/>
    <w:rsid w:val="0005150A"/>
    <w:rsid w:val="000524B9"/>
    <w:rsid w:val="00054B52"/>
    <w:rsid w:val="00054F20"/>
    <w:rsid w:val="00055214"/>
    <w:rsid w:val="0005540A"/>
    <w:rsid w:val="000558CF"/>
    <w:rsid w:val="00055A63"/>
    <w:rsid w:val="00055D7C"/>
    <w:rsid w:val="00055E29"/>
    <w:rsid w:val="000569D3"/>
    <w:rsid w:val="00056AE3"/>
    <w:rsid w:val="00056CD2"/>
    <w:rsid w:val="000573DD"/>
    <w:rsid w:val="00060001"/>
    <w:rsid w:val="000618ED"/>
    <w:rsid w:val="00061EF4"/>
    <w:rsid w:val="000627E8"/>
    <w:rsid w:val="00062D81"/>
    <w:rsid w:val="00063F49"/>
    <w:rsid w:val="00064635"/>
    <w:rsid w:val="000649EC"/>
    <w:rsid w:val="00064F23"/>
    <w:rsid w:val="0006565C"/>
    <w:rsid w:val="00065838"/>
    <w:rsid w:val="000658C2"/>
    <w:rsid w:val="000660C0"/>
    <w:rsid w:val="000666AF"/>
    <w:rsid w:val="000669AF"/>
    <w:rsid w:val="00066E6F"/>
    <w:rsid w:val="00067DB8"/>
    <w:rsid w:val="0007024A"/>
    <w:rsid w:val="0007027A"/>
    <w:rsid w:val="000702BC"/>
    <w:rsid w:val="0007085A"/>
    <w:rsid w:val="00070C81"/>
    <w:rsid w:val="00071116"/>
    <w:rsid w:val="000727BD"/>
    <w:rsid w:val="00072ADD"/>
    <w:rsid w:val="00072C4D"/>
    <w:rsid w:val="00073238"/>
    <w:rsid w:val="00073DC6"/>
    <w:rsid w:val="000743AD"/>
    <w:rsid w:val="0007469F"/>
    <w:rsid w:val="00074782"/>
    <w:rsid w:val="00074E76"/>
    <w:rsid w:val="00075818"/>
    <w:rsid w:val="00075B46"/>
    <w:rsid w:val="00075B56"/>
    <w:rsid w:val="00075D1B"/>
    <w:rsid w:val="0007655D"/>
    <w:rsid w:val="00076D9F"/>
    <w:rsid w:val="00076F71"/>
    <w:rsid w:val="0007732F"/>
    <w:rsid w:val="000778F5"/>
    <w:rsid w:val="00077BC1"/>
    <w:rsid w:val="00077FBC"/>
    <w:rsid w:val="000803BE"/>
    <w:rsid w:val="00080838"/>
    <w:rsid w:val="00080C2A"/>
    <w:rsid w:val="00080E8E"/>
    <w:rsid w:val="000812D7"/>
    <w:rsid w:val="00081F6F"/>
    <w:rsid w:val="000824A0"/>
    <w:rsid w:val="00082657"/>
    <w:rsid w:val="00082751"/>
    <w:rsid w:val="00082A77"/>
    <w:rsid w:val="00082C53"/>
    <w:rsid w:val="0008369B"/>
    <w:rsid w:val="00083B31"/>
    <w:rsid w:val="00083C4D"/>
    <w:rsid w:val="00083DB9"/>
    <w:rsid w:val="00084450"/>
    <w:rsid w:val="0008466E"/>
    <w:rsid w:val="000847C9"/>
    <w:rsid w:val="00084861"/>
    <w:rsid w:val="00086FA6"/>
    <w:rsid w:val="00086FA8"/>
    <w:rsid w:val="00087CE4"/>
    <w:rsid w:val="00087F45"/>
    <w:rsid w:val="00090076"/>
    <w:rsid w:val="00090152"/>
    <w:rsid w:val="00090CF7"/>
    <w:rsid w:val="00090F9D"/>
    <w:rsid w:val="00091395"/>
    <w:rsid w:val="0009189C"/>
    <w:rsid w:val="00091B36"/>
    <w:rsid w:val="00092094"/>
    <w:rsid w:val="000921DF"/>
    <w:rsid w:val="00092397"/>
    <w:rsid w:val="000927BB"/>
    <w:rsid w:val="00092FA0"/>
    <w:rsid w:val="0009343B"/>
    <w:rsid w:val="00093B52"/>
    <w:rsid w:val="00094525"/>
    <w:rsid w:val="000947ED"/>
    <w:rsid w:val="000962CC"/>
    <w:rsid w:val="000969BA"/>
    <w:rsid w:val="00097CF1"/>
    <w:rsid w:val="00097E9F"/>
    <w:rsid w:val="000A05E8"/>
    <w:rsid w:val="000A0A42"/>
    <w:rsid w:val="000A0BD5"/>
    <w:rsid w:val="000A1264"/>
    <w:rsid w:val="000A1F83"/>
    <w:rsid w:val="000A210E"/>
    <w:rsid w:val="000A21DC"/>
    <w:rsid w:val="000A2429"/>
    <w:rsid w:val="000A246D"/>
    <w:rsid w:val="000A250C"/>
    <w:rsid w:val="000A2C6F"/>
    <w:rsid w:val="000A30D2"/>
    <w:rsid w:val="000A3169"/>
    <w:rsid w:val="000A33DC"/>
    <w:rsid w:val="000A3624"/>
    <w:rsid w:val="000A3DC5"/>
    <w:rsid w:val="000A45AC"/>
    <w:rsid w:val="000A4721"/>
    <w:rsid w:val="000A54B9"/>
    <w:rsid w:val="000A6481"/>
    <w:rsid w:val="000A6831"/>
    <w:rsid w:val="000A686C"/>
    <w:rsid w:val="000A6875"/>
    <w:rsid w:val="000A6E81"/>
    <w:rsid w:val="000A7A06"/>
    <w:rsid w:val="000A7FD2"/>
    <w:rsid w:val="000B05D3"/>
    <w:rsid w:val="000B06BE"/>
    <w:rsid w:val="000B111F"/>
    <w:rsid w:val="000B23E0"/>
    <w:rsid w:val="000B3371"/>
    <w:rsid w:val="000B3440"/>
    <w:rsid w:val="000B3734"/>
    <w:rsid w:val="000B3D9E"/>
    <w:rsid w:val="000B3E93"/>
    <w:rsid w:val="000B423B"/>
    <w:rsid w:val="000B43D2"/>
    <w:rsid w:val="000B4511"/>
    <w:rsid w:val="000B45BB"/>
    <w:rsid w:val="000B48AA"/>
    <w:rsid w:val="000B5594"/>
    <w:rsid w:val="000B5598"/>
    <w:rsid w:val="000B62EF"/>
    <w:rsid w:val="000B6CEB"/>
    <w:rsid w:val="000B70E9"/>
    <w:rsid w:val="000B7215"/>
    <w:rsid w:val="000B79D1"/>
    <w:rsid w:val="000B7C1E"/>
    <w:rsid w:val="000C018E"/>
    <w:rsid w:val="000C06AC"/>
    <w:rsid w:val="000C0E1B"/>
    <w:rsid w:val="000C1536"/>
    <w:rsid w:val="000C177B"/>
    <w:rsid w:val="000C1D6E"/>
    <w:rsid w:val="000C2398"/>
    <w:rsid w:val="000C288B"/>
    <w:rsid w:val="000C2D90"/>
    <w:rsid w:val="000C2DDF"/>
    <w:rsid w:val="000C2F77"/>
    <w:rsid w:val="000C33DC"/>
    <w:rsid w:val="000C3D82"/>
    <w:rsid w:val="000C44EC"/>
    <w:rsid w:val="000C4A40"/>
    <w:rsid w:val="000C4BC1"/>
    <w:rsid w:val="000C4E27"/>
    <w:rsid w:val="000C4E62"/>
    <w:rsid w:val="000C5141"/>
    <w:rsid w:val="000C5651"/>
    <w:rsid w:val="000C6E9B"/>
    <w:rsid w:val="000C6F36"/>
    <w:rsid w:val="000C7557"/>
    <w:rsid w:val="000C7EDC"/>
    <w:rsid w:val="000D0748"/>
    <w:rsid w:val="000D08F2"/>
    <w:rsid w:val="000D1CF5"/>
    <w:rsid w:val="000D21A9"/>
    <w:rsid w:val="000D23CF"/>
    <w:rsid w:val="000D2722"/>
    <w:rsid w:val="000D2EFD"/>
    <w:rsid w:val="000D34BB"/>
    <w:rsid w:val="000D3F9F"/>
    <w:rsid w:val="000D466B"/>
    <w:rsid w:val="000D47F7"/>
    <w:rsid w:val="000D4A07"/>
    <w:rsid w:val="000D4DAC"/>
    <w:rsid w:val="000D5ADD"/>
    <w:rsid w:val="000D5CB3"/>
    <w:rsid w:val="000D6045"/>
    <w:rsid w:val="000D62F9"/>
    <w:rsid w:val="000D63D5"/>
    <w:rsid w:val="000D684B"/>
    <w:rsid w:val="000D6F8D"/>
    <w:rsid w:val="000D7740"/>
    <w:rsid w:val="000E0120"/>
    <w:rsid w:val="000E03BC"/>
    <w:rsid w:val="000E069F"/>
    <w:rsid w:val="000E0902"/>
    <w:rsid w:val="000E1255"/>
    <w:rsid w:val="000E1849"/>
    <w:rsid w:val="000E1C13"/>
    <w:rsid w:val="000E2873"/>
    <w:rsid w:val="000E2E53"/>
    <w:rsid w:val="000E2FF7"/>
    <w:rsid w:val="000E3053"/>
    <w:rsid w:val="000E38F5"/>
    <w:rsid w:val="000E39CA"/>
    <w:rsid w:val="000E3FE1"/>
    <w:rsid w:val="000E4CC1"/>
    <w:rsid w:val="000E58CE"/>
    <w:rsid w:val="000E63F2"/>
    <w:rsid w:val="000E6B08"/>
    <w:rsid w:val="000E6D9E"/>
    <w:rsid w:val="000E74DE"/>
    <w:rsid w:val="000E74EB"/>
    <w:rsid w:val="000E7C7B"/>
    <w:rsid w:val="000F0A70"/>
    <w:rsid w:val="000F0FD7"/>
    <w:rsid w:val="000F1374"/>
    <w:rsid w:val="000F1C4F"/>
    <w:rsid w:val="000F2702"/>
    <w:rsid w:val="000F34A6"/>
    <w:rsid w:val="000F3A73"/>
    <w:rsid w:val="000F41C6"/>
    <w:rsid w:val="000F478F"/>
    <w:rsid w:val="000F4CED"/>
    <w:rsid w:val="000F5AEF"/>
    <w:rsid w:val="000F5F7F"/>
    <w:rsid w:val="000F6102"/>
    <w:rsid w:val="000F6A41"/>
    <w:rsid w:val="000F743E"/>
    <w:rsid w:val="000F7C4C"/>
    <w:rsid w:val="000F7CD2"/>
    <w:rsid w:val="000F7DE1"/>
    <w:rsid w:val="00100578"/>
    <w:rsid w:val="001007C0"/>
    <w:rsid w:val="00100C4B"/>
    <w:rsid w:val="00101A82"/>
    <w:rsid w:val="00101FCB"/>
    <w:rsid w:val="001023FD"/>
    <w:rsid w:val="00102451"/>
    <w:rsid w:val="00102A86"/>
    <w:rsid w:val="00102E4E"/>
    <w:rsid w:val="001030DA"/>
    <w:rsid w:val="001031F1"/>
    <w:rsid w:val="001031F8"/>
    <w:rsid w:val="001032D0"/>
    <w:rsid w:val="001037FC"/>
    <w:rsid w:val="00104025"/>
    <w:rsid w:val="001048B2"/>
    <w:rsid w:val="00104A60"/>
    <w:rsid w:val="00104F63"/>
    <w:rsid w:val="00105AC9"/>
    <w:rsid w:val="00106489"/>
    <w:rsid w:val="00106E5D"/>
    <w:rsid w:val="00106EBF"/>
    <w:rsid w:val="001072C6"/>
    <w:rsid w:val="00107D3D"/>
    <w:rsid w:val="00110255"/>
    <w:rsid w:val="00110594"/>
    <w:rsid w:val="00110719"/>
    <w:rsid w:val="00110CC8"/>
    <w:rsid w:val="00111A9D"/>
    <w:rsid w:val="00111AB4"/>
    <w:rsid w:val="001134B3"/>
    <w:rsid w:val="00113932"/>
    <w:rsid w:val="00114392"/>
    <w:rsid w:val="00114B17"/>
    <w:rsid w:val="00114DF8"/>
    <w:rsid w:val="00114F8E"/>
    <w:rsid w:val="001152EE"/>
    <w:rsid w:val="0011534C"/>
    <w:rsid w:val="001156FC"/>
    <w:rsid w:val="00116411"/>
    <w:rsid w:val="00116449"/>
    <w:rsid w:val="001167DC"/>
    <w:rsid w:val="00116F53"/>
    <w:rsid w:val="001172F5"/>
    <w:rsid w:val="00117833"/>
    <w:rsid w:val="00117E81"/>
    <w:rsid w:val="00117F70"/>
    <w:rsid w:val="00120047"/>
    <w:rsid w:val="00120135"/>
    <w:rsid w:val="00121002"/>
    <w:rsid w:val="00121060"/>
    <w:rsid w:val="001216B1"/>
    <w:rsid w:val="001217FD"/>
    <w:rsid w:val="00121E45"/>
    <w:rsid w:val="001227E8"/>
    <w:rsid w:val="00122A9E"/>
    <w:rsid w:val="00122DD3"/>
    <w:rsid w:val="00122FA4"/>
    <w:rsid w:val="00123289"/>
    <w:rsid w:val="001235D1"/>
    <w:rsid w:val="00123D87"/>
    <w:rsid w:val="00124AF5"/>
    <w:rsid w:val="0012554F"/>
    <w:rsid w:val="001269B7"/>
    <w:rsid w:val="001273A5"/>
    <w:rsid w:val="00127C9F"/>
    <w:rsid w:val="001304A8"/>
    <w:rsid w:val="00130F40"/>
    <w:rsid w:val="00131406"/>
    <w:rsid w:val="0013239E"/>
    <w:rsid w:val="00132CF3"/>
    <w:rsid w:val="00133356"/>
    <w:rsid w:val="0013360F"/>
    <w:rsid w:val="001338F6"/>
    <w:rsid w:val="00133D5B"/>
    <w:rsid w:val="00133F1A"/>
    <w:rsid w:val="00135842"/>
    <w:rsid w:val="00135C8C"/>
    <w:rsid w:val="0013639A"/>
    <w:rsid w:val="00136596"/>
    <w:rsid w:val="0013689E"/>
    <w:rsid w:val="00136B99"/>
    <w:rsid w:val="001377B8"/>
    <w:rsid w:val="00137B5B"/>
    <w:rsid w:val="00137ED0"/>
    <w:rsid w:val="001402F2"/>
    <w:rsid w:val="001406E6"/>
    <w:rsid w:val="00140CC6"/>
    <w:rsid w:val="00140D70"/>
    <w:rsid w:val="001418C9"/>
    <w:rsid w:val="00141BEC"/>
    <w:rsid w:val="00141F68"/>
    <w:rsid w:val="00141FCE"/>
    <w:rsid w:val="00142AD5"/>
    <w:rsid w:val="00143146"/>
    <w:rsid w:val="00143227"/>
    <w:rsid w:val="0014344F"/>
    <w:rsid w:val="00143E10"/>
    <w:rsid w:val="00144116"/>
    <w:rsid w:val="001443CC"/>
    <w:rsid w:val="00144845"/>
    <w:rsid w:val="001450CA"/>
    <w:rsid w:val="001450F1"/>
    <w:rsid w:val="00146100"/>
    <w:rsid w:val="00146396"/>
    <w:rsid w:val="001465B0"/>
    <w:rsid w:val="0014668D"/>
    <w:rsid w:val="0014720F"/>
    <w:rsid w:val="00147AC7"/>
    <w:rsid w:val="00147B4B"/>
    <w:rsid w:val="0015022C"/>
    <w:rsid w:val="001507D2"/>
    <w:rsid w:val="00150CC1"/>
    <w:rsid w:val="00150CC6"/>
    <w:rsid w:val="00150DFA"/>
    <w:rsid w:val="00150ED9"/>
    <w:rsid w:val="0015168F"/>
    <w:rsid w:val="00151ADD"/>
    <w:rsid w:val="00151C86"/>
    <w:rsid w:val="00153952"/>
    <w:rsid w:val="001539A9"/>
    <w:rsid w:val="00153B3F"/>
    <w:rsid w:val="00154096"/>
    <w:rsid w:val="00154401"/>
    <w:rsid w:val="00154796"/>
    <w:rsid w:val="00154A5E"/>
    <w:rsid w:val="00155BB6"/>
    <w:rsid w:val="00156072"/>
    <w:rsid w:val="0015629D"/>
    <w:rsid w:val="001567C6"/>
    <w:rsid w:val="00156A2A"/>
    <w:rsid w:val="00156E93"/>
    <w:rsid w:val="001572E7"/>
    <w:rsid w:val="00157D1F"/>
    <w:rsid w:val="0016045C"/>
    <w:rsid w:val="0016048D"/>
    <w:rsid w:val="001617A4"/>
    <w:rsid w:val="001624E7"/>
    <w:rsid w:val="001629DA"/>
    <w:rsid w:val="001631FE"/>
    <w:rsid w:val="0016323C"/>
    <w:rsid w:val="00163320"/>
    <w:rsid w:val="00163674"/>
    <w:rsid w:val="00163C2F"/>
    <w:rsid w:val="0016458B"/>
    <w:rsid w:val="00164FAD"/>
    <w:rsid w:val="00164FCF"/>
    <w:rsid w:val="00165A39"/>
    <w:rsid w:val="00165AE5"/>
    <w:rsid w:val="00165CF0"/>
    <w:rsid w:val="00165E37"/>
    <w:rsid w:val="0016723E"/>
    <w:rsid w:val="001702C8"/>
    <w:rsid w:val="0017061E"/>
    <w:rsid w:val="00170928"/>
    <w:rsid w:val="00171030"/>
    <w:rsid w:val="001713CF"/>
    <w:rsid w:val="0017179F"/>
    <w:rsid w:val="0017192D"/>
    <w:rsid w:val="001725AC"/>
    <w:rsid w:val="00172793"/>
    <w:rsid w:val="00172BD9"/>
    <w:rsid w:val="00173CC3"/>
    <w:rsid w:val="00173D2E"/>
    <w:rsid w:val="001740CC"/>
    <w:rsid w:val="00174568"/>
    <w:rsid w:val="00174801"/>
    <w:rsid w:val="001748A9"/>
    <w:rsid w:val="00174EDF"/>
    <w:rsid w:val="001751C0"/>
    <w:rsid w:val="001751EB"/>
    <w:rsid w:val="0017683D"/>
    <w:rsid w:val="00176964"/>
    <w:rsid w:val="00177340"/>
    <w:rsid w:val="00177505"/>
    <w:rsid w:val="001776A5"/>
    <w:rsid w:val="001778C5"/>
    <w:rsid w:val="00177CA1"/>
    <w:rsid w:val="00180A4F"/>
    <w:rsid w:val="00180BE2"/>
    <w:rsid w:val="00180FBF"/>
    <w:rsid w:val="00181108"/>
    <w:rsid w:val="001831C5"/>
    <w:rsid w:val="001835D8"/>
    <w:rsid w:val="001837D3"/>
    <w:rsid w:val="00183C8F"/>
    <w:rsid w:val="00183D5A"/>
    <w:rsid w:val="001846A8"/>
    <w:rsid w:val="00185A43"/>
    <w:rsid w:val="001862CF"/>
    <w:rsid w:val="001863EC"/>
    <w:rsid w:val="001864F2"/>
    <w:rsid w:val="00186CF1"/>
    <w:rsid w:val="00186E68"/>
    <w:rsid w:val="00186F94"/>
    <w:rsid w:val="0018704B"/>
    <w:rsid w:val="00187557"/>
    <w:rsid w:val="00187EC4"/>
    <w:rsid w:val="00187FA1"/>
    <w:rsid w:val="001900FD"/>
    <w:rsid w:val="00190178"/>
    <w:rsid w:val="001903C8"/>
    <w:rsid w:val="001903CE"/>
    <w:rsid w:val="0019054E"/>
    <w:rsid w:val="00190B6F"/>
    <w:rsid w:val="001911FF"/>
    <w:rsid w:val="00191D29"/>
    <w:rsid w:val="00192308"/>
    <w:rsid w:val="00192EC5"/>
    <w:rsid w:val="001936F9"/>
    <w:rsid w:val="001939FA"/>
    <w:rsid w:val="00193BBD"/>
    <w:rsid w:val="00193C40"/>
    <w:rsid w:val="00193C8C"/>
    <w:rsid w:val="00193D56"/>
    <w:rsid w:val="00194123"/>
    <w:rsid w:val="00194F4B"/>
    <w:rsid w:val="0019560B"/>
    <w:rsid w:val="00195D07"/>
    <w:rsid w:val="00196195"/>
    <w:rsid w:val="001964DC"/>
    <w:rsid w:val="0019692F"/>
    <w:rsid w:val="00196DB9"/>
    <w:rsid w:val="00196FD8"/>
    <w:rsid w:val="00197306"/>
    <w:rsid w:val="00197836"/>
    <w:rsid w:val="0019796A"/>
    <w:rsid w:val="00197BEA"/>
    <w:rsid w:val="00197FCF"/>
    <w:rsid w:val="001A0216"/>
    <w:rsid w:val="001A0E68"/>
    <w:rsid w:val="001A10B3"/>
    <w:rsid w:val="001A3C57"/>
    <w:rsid w:val="001A4394"/>
    <w:rsid w:val="001A4A45"/>
    <w:rsid w:val="001A605B"/>
    <w:rsid w:val="001A63B6"/>
    <w:rsid w:val="001A6AD7"/>
    <w:rsid w:val="001B0F02"/>
    <w:rsid w:val="001B1072"/>
    <w:rsid w:val="001B12A0"/>
    <w:rsid w:val="001B1B72"/>
    <w:rsid w:val="001B2258"/>
    <w:rsid w:val="001B2925"/>
    <w:rsid w:val="001B5193"/>
    <w:rsid w:val="001B544C"/>
    <w:rsid w:val="001B5868"/>
    <w:rsid w:val="001B5B33"/>
    <w:rsid w:val="001B5EC3"/>
    <w:rsid w:val="001B6551"/>
    <w:rsid w:val="001B65EB"/>
    <w:rsid w:val="001B7DDB"/>
    <w:rsid w:val="001B7E80"/>
    <w:rsid w:val="001B7FFA"/>
    <w:rsid w:val="001C0655"/>
    <w:rsid w:val="001C113A"/>
    <w:rsid w:val="001C1684"/>
    <w:rsid w:val="001C18FD"/>
    <w:rsid w:val="001C1D29"/>
    <w:rsid w:val="001C2525"/>
    <w:rsid w:val="001C26AF"/>
    <w:rsid w:val="001C2B7F"/>
    <w:rsid w:val="001C2C1F"/>
    <w:rsid w:val="001C2EF9"/>
    <w:rsid w:val="001C3954"/>
    <w:rsid w:val="001C3CFD"/>
    <w:rsid w:val="001C3D89"/>
    <w:rsid w:val="001C4023"/>
    <w:rsid w:val="001C4037"/>
    <w:rsid w:val="001C42BF"/>
    <w:rsid w:val="001C48B7"/>
    <w:rsid w:val="001C4FA0"/>
    <w:rsid w:val="001C5545"/>
    <w:rsid w:val="001C55B7"/>
    <w:rsid w:val="001C5A89"/>
    <w:rsid w:val="001C626F"/>
    <w:rsid w:val="001C63A2"/>
    <w:rsid w:val="001C6817"/>
    <w:rsid w:val="001C6B30"/>
    <w:rsid w:val="001C7037"/>
    <w:rsid w:val="001C7368"/>
    <w:rsid w:val="001C743F"/>
    <w:rsid w:val="001C74C2"/>
    <w:rsid w:val="001C76F9"/>
    <w:rsid w:val="001D0226"/>
    <w:rsid w:val="001D0B18"/>
    <w:rsid w:val="001D0B91"/>
    <w:rsid w:val="001D0B9F"/>
    <w:rsid w:val="001D105A"/>
    <w:rsid w:val="001D1181"/>
    <w:rsid w:val="001D124D"/>
    <w:rsid w:val="001D14E0"/>
    <w:rsid w:val="001D16F4"/>
    <w:rsid w:val="001D1886"/>
    <w:rsid w:val="001D18A0"/>
    <w:rsid w:val="001D1FBD"/>
    <w:rsid w:val="001D1FE5"/>
    <w:rsid w:val="001D22FD"/>
    <w:rsid w:val="001D2BC6"/>
    <w:rsid w:val="001D2DE7"/>
    <w:rsid w:val="001D2EA7"/>
    <w:rsid w:val="001D3481"/>
    <w:rsid w:val="001D3505"/>
    <w:rsid w:val="001D3810"/>
    <w:rsid w:val="001D38D3"/>
    <w:rsid w:val="001D3E59"/>
    <w:rsid w:val="001D4A91"/>
    <w:rsid w:val="001D4F30"/>
    <w:rsid w:val="001D50F5"/>
    <w:rsid w:val="001D566E"/>
    <w:rsid w:val="001D58BC"/>
    <w:rsid w:val="001D5E05"/>
    <w:rsid w:val="001D5E30"/>
    <w:rsid w:val="001D6164"/>
    <w:rsid w:val="001D6AC6"/>
    <w:rsid w:val="001D732E"/>
    <w:rsid w:val="001D77F1"/>
    <w:rsid w:val="001E0B3D"/>
    <w:rsid w:val="001E1757"/>
    <w:rsid w:val="001E2B2E"/>
    <w:rsid w:val="001E2BA7"/>
    <w:rsid w:val="001E2E29"/>
    <w:rsid w:val="001E2EE5"/>
    <w:rsid w:val="001E330C"/>
    <w:rsid w:val="001E41E7"/>
    <w:rsid w:val="001E440E"/>
    <w:rsid w:val="001E49DE"/>
    <w:rsid w:val="001E4E55"/>
    <w:rsid w:val="001E516F"/>
    <w:rsid w:val="001E5671"/>
    <w:rsid w:val="001E5D33"/>
    <w:rsid w:val="001E5E66"/>
    <w:rsid w:val="001E65E3"/>
    <w:rsid w:val="001E6615"/>
    <w:rsid w:val="001E73BB"/>
    <w:rsid w:val="001E7593"/>
    <w:rsid w:val="001F01F4"/>
    <w:rsid w:val="001F065E"/>
    <w:rsid w:val="001F0688"/>
    <w:rsid w:val="001F0754"/>
    <w:rsid w:val="001F12DB"/>
    <w:rsid w:val="001F16BD"/>
    <w:rsid w:val="001F1EEF"/>
    <w:rsid w:val="001F394E"/>
    <w:rsid w:val="001F3A94"/>
    <w:rsid w:val="001F3D6C"/>
    <w:rsid w:val="001F4EBC"/>
    <w:rsid w:val="001F523A"/>
    <w:rsid w:val="001F5413"/>
    <w:rsid w:val="001F6348"/>
    <w:rsid w:val="001F6446"/>
    <w:rsid w:val="001F66E5"/>
    <w:rsid w:val="001F6FFB"/>
    <w:rsid w:val="001F7252"/>
    <w:rsid w:val="001F755D"/>
    <w:rsid w:val="001F7B41"/>
    <w:rsid w:val="002002D0"/>
    <w:rsid w:val="00200477"/>
    <w:rsid w:val="00200CA3"/>
    <w:rsid w:val="00200DF4"/>
    <w:rsid w:val="0020164C"/>
    <w:rsid w:val="00201A92"/>
    <w:rsid w:val="00201C5F"/>
    <w:rsid w:val="00201CF0"/>
    <w:rsid w:val="00202168"/>
    <w:rsid w:val="00202603"/>
    <w:rsid w:val="0020290E"/>
    <w:rsid w:val="00202AF2"/>
    <w:rsid w:val="00203036"/>
    <w:rsid w:val="002034D5"/>
    <w:rsid w:val="002035F6"/>
    <w:rsid w:val="002036E0"/>
    <w:rsid w:val="00203C19"/>
    <w:rsid w:val="00203D1D"/>
    <w:rsid w:val="002041F5"/>
    <w:rsid w:val="00204AFB"/>
    <w:rsid w:val="00204BF1"/>
    <w:rsid w:val="002057E1"/>
    <w:rsid w:val="002058AA"/>
    <w:rsid w:val="00205CB5"/>
    <w:rsid w:val="00205E4E"/>
    <w:rsid w:val="0020692D"/>
    <w:rsid w:val="002071A3"/>
    <w:rsid w:val="002075F9"/>
    <w:rsid w:val="002102BC"/>
    <w:rsid w:val="00210385"/>
    <w:rsid w:val="0021059A"/>
    <w:rsid w:val="002105C2"/>
    <w:rsid w:val="00210EC8"/>
    <w:rsid w:val="0021102D"/>
    <w:rsid w:val="002117FE"/>
    <w:rsid w:val="0021200D"/>
    <w:rsid w:val="00212193"/>
    <w:rsid w:val="002124EE"/>
    <w:rsid w:val="002125E5"/>
    <w:rsid w:val="00212CD3"/>
    <w:rsid w:val="00212D19"/>
    <w:rsid w:val="00213728"/>
    <w:rsid w:val="00214B36"/>
    <w:rsid w:val="00214E84"/>
    <w:rsid w:val="00214F8F"/>
    <w:rsid w:val="002151F4"/>
    <w:rsid w:val="00215DBA"/>
    <w:rsid w:val="00215FD3"/>
    <w:rsid w:val="0021604F"/>
    <w:rsid w:val="0021606B"/>
    <w:rsid w:val="002160C3"/>
    <w:rsid w:val="00216BEA"/>
    <w:rsid w:val="00216CA4"/>
    <w:rsid w:val="00216FB7"/>
    <w:rsid w:val="00217229"/>
    <w:rsid w:val="00217764"/>
    <w:rsid w:val="00217778"/>
    <w:rsid w:val="00217901"/>
    <w:rsid w:val="00217AD7"/>
    <w:rsid w:val="00217C5F"/>
    <w:rsid w:val="00217D7D"/>
    <w:rsid w:val="00220589"/>
    <w:rsid w:val="00220F45"/>
    <w:rsid w:val="002210F3"/>
    <w:rsid w:val="002212CC"/>
    <w:rsid w:val="002214DA"/>
    <w:rsid w:val="00221B17"/>
    <w:rsid w:val="002233E9"/>
    <w:rsid w:val="002241F1"/>
    <w:rsid w:val="0022464F"/>
    <w:rsid w:val="00224A9E"/>
    <w:rsid w:val="002252D1"/>
    <w:rsid w:val="00225343"/>
    <w:rsid w:val="00225695"/>
    <w:rsid w:val="00225CF7"/>
    <w:rsid w:val="0022667C"/>
    <w:rsid w:val="00226D8B"/>
    <w:rsid w:val="002271DB"/>
    <w:rsid w:val="00227E5F"/>
    <w:rsid w:val="00227EBF"/>
    <w:rsid w:val="0023080D"/>
    <w:rsid w:val="00230AEB"/>
    <w:rsid w:val="00230D2C"/>
    <w:rsid w:val="002311CA"/>
    <w:rsid w:val="00231D9A"/>
    <w:rsid w:val="002321D2"/>
    <w:rsid w:val="00232299"/>
    <w:rsid w:val="00232ABA"/>
    <w:rsid w:val="00233CA6"/>
    <w:rsid w:val="00233DA9"/>
    <w:rsid w:val="00234431"/>
    <w:rsid w:val="00234941"/>
    <w:rsid w:val="00234B81"/>
    <w:rsid w:val="002350E1"/>
    <w:rsid w:val="0023510A"/>
    <w:rsid w:val="00235560"/>
    <w:rsid w:val="0023599F"/>
    <w:rsid w:val="00235DEC"/>
    <w:rsid w:val="0023618D"/>
    <w:rsid w:val="0023665A"/>
    <w:rsid w:val="00236B07"/>
    <w:rsid w:val="00237223"/>
    <w:rsid w:val="00237593"/>
    <w:rsid w:val="002375C3"/>
    <w:rsid w:val="002378DC"/>
    <w:rsid w:val="00237B71"/>
    <w:rsid w:val="002403BF"/>
    <w:rsid w:val="00240611"/>
    <w:rsid w:val="00240695"/>
    <w:rsid w:val="0024086B"/>
    <w:rsid w:val="00240D67"/>
    <w:rsid w:val="00242513"/>
    <w:rsid w:val="0024256A"/>
    <w:rsid w:val="002429AF"/>
    <w:rsid w:val="00242C67"/>
    <w:rsid w:val="00243167"/>
    <w:rsid w:val="00243572"/>
    <w:rsid w:val="00243A89"/>
    <w:rsid w:val="0024405B"/>
    <w:rsid w:val="002444F0"/>
    <w:rsid w:val="002449F8"/>
    <w:rsid w:val="00244BE0"/>
    <w:rsid w:val="00245368"/>
    <w:rsid w:val="00245A6E"/>
    <w:rsid w:val="00245BDD"/>
    <w:rsid w:val="00246CE7"/>
    <w:rsid w:val="00246DB0"/>
    <w:rsid w:val="00250187"/>
    <w:rsid w:val="00250B0D"/>
    <w:rsid w:val="00250C78"/>
    <w:rsid w:val="00250CC5"/>
    <w:rsid w:val="0025185F"/>
    <w:rsid w:val="00251AA0"/>
    <w:rsid w:val="0025218F"/>
    <w:rsid w:val="00252EE3"/>
    <w:rsid w:val="002530FA"/>
    <w:rsid w:val="00253504"/>
    <w:rsid w:val="00253E0E"/>
    <w:rsid w:val="002543FA"/>
    <w:rsid w:val="00254BE9"/>
    <w:rsid w:val="00254F6D"/>
    <w:rsid w:val="00255288"/>
    <w:rsid w:val="00255A15"/>
    <w:rsid w:val="002560A5"/>
    <w:rsid w:val="002567EA"/>
    <w:rsid w:val="00256A1C"/>
    <w:rsid w:val="00256BC4"/>
    <w:rsid w:val="00257B9B"/>
    <w:rsid w:val="00257FF7"/>
    <w:rsid w:val="0026028D"/>
    <w:rsid w:val="002606AC"/>
    <w:rsid w:val="002609C7"/>
    <w:rsid w:val="00260C14"/>
    <w:rsid w:val="00261227"/>
    <w:rsid w:val="00261267"/>
    <w:rsid w:val="002615B8"/>
    <w:rsid w:val="00261C34"/>
    <w:rsid w:val="002626F2"/>
    <w:rsid w:val="002628AA"/>
    <w:rsid w:val="002636D0"/>
    <w:rsid w:val="00263FA9"/>
    <w:rsid w:val="00264431"/>
    <w:rsid w:val="00264752"/>
    <w:rsid w:val="00264BEE"/>
    <w:rsid w:val="002650F9"/>
    <w:rsid w:val="00265662"/>
    <w:rsid w:val="002656D3"/>
    <w:rsid w:val="0026588B"/>
    <w:rsid w:val="00266286"/>
    <w:rsid w:val="00266E06"/>
    <w:rsid w:val="00266EC6"/>
    <w:rsid w:val="00266EF8"/>
    <w:rsid w:val="00267A05"/>
    <w:rsid w:val="00267A91"/>
    <w:rsid w:val="00270110"/>
    <w:rsid w:val="00270336"/>
    <w:rsid w:val="002704CA"/>
    <w:rsid w:val="0027069F"/>
    <w:rsid w:val="002709C6"/>
    <w:rsid w:val="00270A4E"/>
    <w:rsid w:val="00270DC6"/>
    <w:rsid w:val="00270E0E"/>
    <w:rsid w:val="00271B76"/>
    <w:rsid w:val="0027214E"/>
    <w:rsid w:val="002722BB"/>
    <w:rsid w:val="00272434"/>
    <w:rsid w:val="00272484"/>
    <w:rsid w:val="00272804"/>
    <w:rsid w:val="002729C7"/>
    <w:rsid w:val="00272C05"/>
    <w:rsid w:val="00272EA3"/>
    <w:rsid w:val="002732B6"/>
    <w:rsid w:val="002733E7"/>
    <w:rsid w:val="00273E36"/>
    <w:rsid w:val="00274392"/>
    <w:rsid w:val="0027463F"/>
    <w:rsid w:val="002760D3"/>
    <w:rsid w:val="00276673"/>
    <w:rsid w:val="00277187"/>
    <w:rsid w:val="0027750C"/>
    <w:rsid w:val="00277751"/>
    <w:rsid w:val="002804F5"/>
    <w:rsid w:val="002812EA"/>
    <w:rsid w:val="00281383"/>
    <w:rsid w:val="002821E0"/>
    <w:rsid w:val="0028231C"/>
    <w:rsid w:val="00282A7D"/>
    <w:rsid w:val="00282DBF"/>
    <w:rsid w:val="002830A1"/>
    <w:rsid w:val="00283513"/>
    <w:rsid w:val="00284261"/>
    <w:rsid w:val="002842E9"/>
    <w:rsid w:val="00284C44"/>
    <w:rsid w:val="00284DAA"/>
    <w:rsid w:val="002857B0"/>
    <w:rsid w:val="00285A81"/>
    <w:rsid w:val="00285C69"/>
    <w:rsid w:val="0028657D"/>
    <w:rsid w:val="0028674C"/>
    <w:rsid w:val="0028718B"/>
    <w:rsid w:val="002871FB"/>
    <w:rsid w:val="00287210"/>
    <w:rsid w:val="002904C2"/>
    <w:rsid w:val="00291A5B"/>
    <w:rsid w:val="00292197"/>
    <w:rsid w:val="002923D9"/>
    <w:rsid w:val="00292787"/>
    <w:rsid w:val="0029376A"/>
    <w:rsid w:val="00293D52"/>
    <w:rsid w:val="00294023"/>
    <w:rsid w:val="0029421D"/>
    <w:rsid w:val="0029567D"/>
    <w:rsid w:val="00295C7F"/>
    <w:rsid w:val="00296386"/>
    <w:rsid w:val="00296769"/>
    <w:rsid w:val="002973B1"/>
    <w:rsid w:val="00297442"/>
    <w:rsid w:val="002976C8"/>
    <w:rsid w:val="00297C61"/>
    <w:rsid w:val="00297CB4"/>
    <w:rsid w:val="00297CD3"/>
    <w:rsid w:val="00297F67"/>
    <w:rsid w:val="002A10D7"/>
    <w:rsid w:val="002A11F7"/>
    <w:rsid w:val="002A23D3"/>
    <w:rsid w:val="002A2458"/>
    <w:rsid w:val="002A29B6"/>
    <w:rsid w:val="002A2A1D"/>
    <w:rsid w:val="002A2D8F"/>
    <w:rsid w:val="002A2E58"/>
    <w:rsid w:val="002A329F"/>
    <w:rsid w:val="002A3589"/>
    <w:rsid w:val="002A369E"/>
    <w:rsid w:val="002A3C13"/>
    <w:rsid w:val="002A3D03"/>
    <w:rsid w:val="002A41F0"/>
    <w:rsid w:val="002A49B4"/>
    <w:rsid w:val="002A4A89"/>
    <w:rsid w:val="002A58E4"/>
    <w:rsid w:val="002A5CD1"/>
    <w:rsid w:val="002A5D90"/>
    <w:rsid w:val="002A6553"/>
    <w:rsid w:val="002A70C9"/>
    <w:rsid w:val="002A743C"/>
    <w:rsid w:val="002A760F"/>
    <w:rsid w:val="002A794B"/>
    <w:rsid w:val="002B0A3A"/>
    <w:rsid w:val="002B0C5E"/>
    <w:rsid w:val="002B0E2B"/>
    <w:rsid w:val="002B0E81"/>
    <w:rsid w:val="002B1057"/>
    <w:rsid w:val="002B1859"/>
    <w:rsid w:val="002B1A03"/>
    <w:rsid w:val="002B26B8"/>
    <w:rsid w:val="002B292D"/>
    <w:rsid w:val="002B3B06"/>
    <w:rsid w:val="002B3F82"/>
    <w:rsid w:val="002B419C"/>
    <w:rsid w:val="002B44C4"/>
    <w:rsid w:val="002B486B"/>
    <w:rsid w:val="002B4A83"/>
    <w:rsid w:val="002B560B"/>
    <w:rsid w:val="002B59FB"/>
    <w:rsid w:val="002B5E35"/>
    <w:rsid w:val="002B7932"/>
    <w:rsid w:val="002C01C5"/>
    <w:rsid w:val="002C0316"/>
    <w:rsid w:val="002C0A76"/>
    <w:rsid w:val="002C0C80"/>
    <w:rsid w:val="002C0E05"/>
    <w:rsid w:val="002C1165"/>
    <w:rsid w:val="002C116B"/>
    <w:rsid w:val="002C1173"/>
    <w:rsid w:val="002C12C1"/>
    <w:rsid w:val="002C21D9"/>
    <w:rsid w:val="002C2220"/>
    <w:rsid w:val="002C25BB"/>
    <w:rsid w:val="002C2C97"/>
    <w:rsid w:val="002C2F23"/>
    <w:rsid w:val="002C31A4"/>
    <w:rsid w:val="002C347A"/>
    <w:rsid w:val="002C36B7"/>
    <w:rsid w:val="002C47BC"/>
    <w:rsid w:val="002C508A"/>
    <w:rsid w:val="002C535B"/>
    <w:rsid w:val="002C566F"/>
    <w:rsid w:val="002C6087"/>
    <w:rsid w:val="002C61D4"/>
    <w:rsid w:val="002C62C5"/>
    <w:rsid w:val="002C6688"/>
    <w:rsid w:val="002C74A6"/>
    <w:rsid w:val="002C7891"/>
    <w:rsid w:val="002C7DED"/>
    <w:rsid w:val="002D03EE"/>
    <w:rsid w:val="002D0CCD"/>
    <w:rsid w:val="002D0EE3"/>
    <w:rsid w:val="002D1A6B"/>
    <w:rsid w:val="002D1F12"/>
    <w:rsid w:val="002D1FB0"/>
    <w:rsid w:val="002D216B"/>
    <w:rsid w:val="002D2540"/>
    <w:rsid w:val="002D2752"/>
    <w:rsid w:val="002D28EF"/>
    <w:rsid w:val="002D2D8D"/>
    <w:rsid w:val="002D2DFB"/>
    <w:rsid w:val="002D304A"/>
    <w:rsid w:val="002D316B"/>
    <w:rsid w:val="002D3348"/>
    <w:rsid w:val="002D448B"/>
    <w:rsid w:val="002D4915"/>
    <w:rsid w:val="002D4CB1"/>
    <w:rsid w:val="002D5063"/>
    <w:rsid w:val="002D542F"/>
    <w:rsid w:val="002D5808"/>
    <w:rsid w:val="002D5B44"/>
    <w:rsid w:val="002D5E7E"/>
    <w:rsid w:val="002D6321"/>
    <w:rsid w:val="002D6626"/>
    <w:rsid w:val="002D7393"/>
    <w:rsid w:val="002D7729"/>
    <w:rsid w:val="002E03A5"/>
    <w:rsid w:val="002E03B9"/>
    <w:rsid w:val="002E0A88"/>
    <w:rsid w:val="002E0E90"/>
    <w:rsid w:val="002E17EA"/>
    <w:rsid w:val="002E185D"/>
    <w:rsid w:val="002E244A"/>
    <w:rsid w:val="002E318A"/>
    <w:rsid w:val="002E356C"/>
    <w:rsid w:val="002E3791"/>
    <w:rsid w:val="002E37AD"/>
    <w:rsid w:val="002E3A43"/>
    <w:rsid w:val="002E3BD3"/>
    <w:rsid w:val="002E3FC7"/>
    <w:rsid w:val="002E4DE3"/>
    <w:rsid w:val="002E5002"/>
    <w:rsid w:val="002E58DC"/>
    <w:rsid w:val="002E5D33"/>
    <w:rsid w:val="002E62D4"/>
    <w:rsid w:val="002E6493"/>
    <w:rsid w:val="002E65A2"/>
    <w:rsid w:val="002E6E13"/>
    <w:rsid w:val="002E734D"/>
    <w:rsid w:val="002E76FB"/>
    <w:rsid w:val="002F07EE"/>
    <w:rsid w:val="002F0D0F"/>
    <w:rsid w:val="002F0E48"/>
    <w:rsid w:val="002F28F4"/>
    <w:rsid w:val="002F2B0A"/>
    <w:rsid w:val="002F2ED4"/>
    <w:rsid w:val="002F33F0"/>
    <w:rsid w:val="002F49EB"/>
    <w:rsid w:val="002F52D6"/>
    <w:rsid w:val="002F54A7"/>
    <w:rsid w:val="002F54FB"/>
    <w:rsid w:val="002F596A"/>
    <w:rsid w:val="002F6356"/>
    <w:rsid w:val="002F6463"/>
    <w:rsid w:val="002F7476"/>
    <w:rsid w:val="002F78C4"/>
    <w:rsid w:val="002F7AF2"/>
    <w:rsid w:val="003001FE"/>
    <w:rsid w:val="003004C7"/>
    <w:rsid w:val="00300AB7"/>
    <w:rsid w:val="00300E2B"/>
    <w:rsid w:val="003010CE"/>
    <w:rsid w:val="00301705"/>
    <w:rsid w:val="00301AAC"/>
    <w:rsid w:val="00301BC7"/>
    <w:rsid w:val="003023AE"/>
    <w:rsid w:val="00302B34"/>
    <w:rsid w:val="00302B76"/>
    <w:rsid w:val="003032B1"/>
    <w:rsid w:val="003033F8"/>
    <w:rsid w:val="00303FD5"/>
    <w:rsid w:val="00305406"/>
    <w:rsid w:val="0030577E"/>
    <w:rsid w:val="00305947"/>
    <w:rsid w:val="00305FCD"/>
    <w:rsid w:val="003063DD"/>
    <w:rsid w:val="00306665"/>
    <w:rsid w:val="0030682E"/>
    <w:rsid w:val="00306A1B"/>
    <w:rsid w:val="00307AD9"/>
    <w:rsid w:val="00307D30"/>
    <w:rsid w:val="0031013D"/>
    <w:rsid w:val="00310F54"/>
    <w:rsid w:val="00311304"/>
    <w:rsid w:val="00312663"/>
    <w:rsid w:val="00313865"/>
    <w:rsid w:val="003139A2"/>
    <w:rsid w:val="00314DF7"/>
    <w:rsid w:val="00315657"/>
    <w:rsid w:val="00315BBB"/>
    <w:rsid w:val="00316AFF"/>
    <w:rsid w:val="00317128"/>
    <w:rsid w:val="0031795E"/>
    <w:rsid w:val="00317AE6"/>
    <w:rsid w:val="00320054"/>
    <w:rsid w:val="003200BF"/>
    <w:rsid w:val="00320C67"/>
    <w:rsid w:val="00320E26"/>
    <w:rsid w:val="00320FA8"/>
    <w:rsid w:val="00321372"/>
    <w:rsid w:val="00321A25"/>
    <w:rsid w:val="00321B7A"/>
    <w:rsid w:val="00322019"/>
    <w:rsid w:val="003222C4"/>
    <w:rsid w:val="0032262E"/>
    <w:rsid w:val="00323414"/>
    <w:rsid w:val="00324DD4"/>
    <w:rsid w:val="0032541D"/>
    <w:rsid w:val="00326279"/>
    <w:rsid w:val="00326283"/>
    <w:rsid w:val="00326FA4"/>
    <w:rsid w:val="00327210"/>
    <w:rsid w:val="00327490"/>
    <w:rsid w:val="00327788"/>
    <w:rsid w:val="003277AF"/>
    <w:rsid w:val="00330483"/>
    <w:rsid w:val="00330595"/>
    <w:rsid w:val="003307E0"/>
    <w:rsid w:val="00330BBE"/>
    <w:rsid w:val="003319D4"/>
    <w:rsid w:val="00332604"/>
    <w:rsid w:val="00332E66"/>
    <w:rsid w:val="00333597"/>
    <w:rsid w:val="00333D1B"/>
    <w:rsid w:val="00334044"/>
    <w:rsid w:val="003340C7"/>
    <w:rsid w:val="003352D1"/>
    <w:rsid w:val="00335640"/>
    <w:rsid w:val="00335754"/>
    <w:rsid w:val="00335D3C"/>
    <w:rsid w:val="003361E8"/>
    <w:rsid w:val="00336FF9"/>
    <w:rsid w:val="00340121"/>
    <w:rsid w:val="003402C8"/>
    <w:rsid w:val="0034053A"/>
    <w:rsid w:val="003408F5"/>
    <w:rsid w:val="00340904"/>
    <w:rsid w:val="00340F77"/>
    <w:rsid w:val="00341261"/>
    <w:rsid w:val="00341CE0"/>
    <w:rsid w:val="00341E69"/>
    <w:rsid w:val="00341F3A"/>
    <w:rsid w:val="0034218D"/>
    <w:rsid w:val="00342B48"/>
    <w:rsid w:val="00342D6D"/>
    <w:rsid w:val="00342DC7"/>
    <w:rsid w:val="00343492"/>
    <w:rsid w:val="00343599"/>
    <w:rsid w:val="00343F6F"/>
    <w:rsid w:val="003442E5"/>
    <w:rsid w:val="0034434B"/>
    <w:rsid w:val="00344B65"/>
    <w:rsid w:val="00344C9A"/>
    <w:rsid w:val="00345367"/>
    <w:rsid w:val="00345712"/>
    <w:rsid w:val="00345974"/>
    <w:rsid w:val="00345C49"/>
    <w:rsid w:val="003466F0"/>
    <w:rsid w:val="003472D4"/>
    <w:rsid w:val="00350211"/>
    <w:rsid w:val="00350A1B"/>
    <w:rsid w:val="00350ACE"/>
    <w:rsid w:val="00350BA5"/>
    <w:rsid w:val="00350FF6"/>
    <w:rsid w:val="00351A88"/>
    <w:rsid w:val="00351EF2"/>
    <w:rsid w:val="00353332"/>
    <w:rsid w:val="00353974"/>
    <w:rsid w:val="003541AF"/>
    <w:rsid w:val="00354A52"/>
    <w:rsid w:val="003552E8"/>
    <w:rsid w:val="00356071"/>
    <w:rsid w:val="00356217"/>
    <w:rsid w:val="00356261"/>
    <w:rsid w:val="003564BE"/>
    <w:rsid w:val="00356A08"/>
    <w:rsid w:val="003571C2"/>
    <w:rsid w:val="00357383"/>
    <w:rsid w:val="003573CC"/>
    <w:rsid w:val="003575C1"/>
    <w:rsid w:val="003578FE"/>
    <w:rsid w:val="00357FC5"/>
    <w:rsid w:val="00357FFE"/>
    <w:rsid w:val="00360E5B"/>
    <w:rsid w:val="003610E9"/>
    <w:rsid w:val="003611C9"/>
    <w:rsid w:val="00361A68"/>
    <w:rsid w:val="00361DF8"/>
    <w:rsid w:val="00362712"/>
    <w:rsid w:val="00362C17"/>
    <w:rsid w:val="0036324A"/>
    <w:rsid w:val="003637E6"/>
    <w:rsid w:val="00363B32"/>
    <w:rsid w:val="00363DC1"/>
    <w:rsid w:val="00363F1F"/>
    <w:rsid w:val="00363FF1"/>
    <w:rsid w:val="00364D53"/>
    <w:rsid w:val="0036510D"/>
    <w:rsid w:val="003652B9"/>
    <w:rsid w:val="00365337"/>
    <w:rsid w:val="00365347"/>
    <w:rsid w:val="00365892"/>
    <w:rsid w:val="00365A99"/>
    <w:rsid w:val="00365B5C"/>
    <w:rsid w:val="003660D6"/>
    <w:rsid w:val="0036629F"/>
    <w:rsid w:val="0036659B"/>
    <w:rsid w:val="0036673D"/>
    <w:rsid w:val="00366875"/>
    <w:rsid w:val="003668CC"/>
    <w:rsid w:val="0036772E"/>
    <w:rsid w:val="00367863"/>
    <w:rsid w:val="00367B1C"/>
    <w:rsid w:val="00367FDC"/>
    <w:rsid w:val="00370A04"/>
    <w:rsid w:val="00370B9A"/>
    <w:rsid w:val="003716B5"/>
    <w:rsid w:val="00371CB8"/>
    <w:rsid w:val="00371D32"/>
    <w:rsid w:val="00371DD8"/>
    <w:rsid w:val="00371E89"/>
    <w:rsid w:val="00371FAE"/>
    <w:rsid w:val="003723B1"/>
    <w:rsid w:val="0037287B"/>
    <w:rsid w:val="00372A02"/>
    <w:rsid w:val="00372AEC"/>
    <w:rsid w:val="00372B93"/>
    <w:rsid w:val="00372CB2"/>
    <w:rsid w:val="00372ED7"/>
    <w:rsid w:val="00373138"/>
    <w:rsid w:val="00374ADF"/>
    <w:rsid w:val="00375E6D"/>
    <w:rsid w:val="003762BC"/>
    <w:rsid w:val="003768DA"/>
    <w:rsid w:val="00376B9F"/>
    <w:rsid w:val="00376BE9"/>
    <w:rsid w:val="00377124"/>
    <w:rsid w:val="0037779E"/>
    <w:rsid w:val="00377BBF"/>
    <w:rsid w:val="003803C2"/>
    <w:rsid w:val="003803EC"/>
    <w:rsid w:val="00380D97"/>
    <w:rsid w:val="00381D90"/>
    <w:rsid w:val="003821CB"/>
    <w:rsid w:val="00382384"/>
    <w:rsid w:val="0038271D"/>
    <w:rsid w:val="0038327E"/>
    <w:rsid w:val="00383B90"/>
    <w:rsid w:val="003845BF"/>
    <w:rsid w:val="003847B3"/>
    <w:rsid w:val="003848DB"/>
    <w:rsid w:val="003851CE"/>
    <w:rsid w:val="00385394"/>
    <w:rsid w:val="0038543A"/>
    <w:rsid w:val="003856FA"/>
    <w:rsid w:val="0038578E"/>
    <w:rsid w:val="00385A31"/>
    <w:rsid w:val="00386057"/>
    <w:rsid w:val="00386124"/>
    <w:rsid w:val="00386CBE"/>
    <w:rsid w:val="0038701A"/>
    <w:rsid w:val="00387627"/>
    <w:rsid w:val="0038782B"/>
    <w:rsid w:val="003878F8"/>
    <w:rsid w:val="00387C3A"/>
    <w:rsid w:val="00387D4C"/>
    <w:rsid w:val="00387E3B"/>
    <w:rsid w:val="00387FB9"/>
    <w:rsid w:val="00390AF0"/>
    <w:rsid w:val="00390FFB"/>
    <w:rsid w:val="0039123A"/>
    <w:rsid w:val="003912E0"/>
    <w:rsid w:val="0039276B"/>
    <w:rsid w:val="003929D4"/>
    <w:rsid w:val="00392CF3"/>
    <w:rsid w:val="00392D94"/>
    <w:rsid w:val="00392DC1"/>
    <w:rsid w:val="00393546"/>
    <w:rsid w:val="00393816"/>
    <w:rsid w:val="00393A1D"/>
    <w:rsid w:val="00393F01"/>
    <w:rsid w:val="00394965"/>
    <w:rsid w:val="00394C7A"/>
    <w:rsid w:val="00395017"/>
    <w:rsid w:val="003950AA"/>
    <w:rsid w:val="00395E9E"/>
    <w:rsid w:val="003969A1"/>
    <w:rsid w:val="00396B43"/>
    <w:rsid w:val="00396F3D"/>
    <w:rsid w:val="003974ED"/>
    <w:rsid w:val="00397B08"/>
    <w:rsid w:val="00397D3C"/>
    <w:rsid w:val="003A0DF8"/>
    <w:rsid w:val="003A1D6E"/>
    <w:rsid w:val="003A266D"/>
    <w:rsid w:val="003A2BD0"/>
    <w:rsid w:val="003A329B"/>
    <w:rsid w:val="003A365C"/>
    <w:rsid w:val="003A3BAB"/>
    <w:rsid w:val="003A3C3B"/>
    <w:rsid w:val="003A40D6"/>
    <w:rsid w:val="003A44AC"/>
    <w:rsid w:val="003A45A4"/>
    <w:rsid w:val="003A46E6"/>
    <w:rsid w:val="003A4826"/>
    <w:rsid w:val="003A4DCA"/>
    <w:rsid w:val="003A4EA9"/>
    <w:rsid w:val="003A5A97"/>
    <w:rsid w:val="003A5ADA"/>
    <w:rsid w:val="003A5E47"/>
    <w:rsid w:val="003A604F"/>
    <w:rsid w:val="003A66F8"/>
    <w:rsid w:val="003A6AB4"/>
    <w:rsid w:val="003A7B39"/>
    <w:rsid w:val="003B006C"/>
    <w:rsid w:val="003B01F0"/>
    <w:rsid w:val="003B03B2"/>
    <w:rsid w:val="003B0831"/>
    <w:rsid w:val="003B1015"/>
    <w:rsid w:val="003B130F"/>
    <w:rsid w:val="003B1330"/>
    <w:rsid w:val="003B1AFE"/>
    <w:rsid w:val="003B21BA"/>
    <w:rsid w:val="003B27E7"/>
    <w:rsid w:val="003B2DC0"/>
    <w:rsid w:val="003B3021"/>
    <w:rsid w:val="003B3B0A"/>
    <w:rsid w:val="003B3B46"/>
    <w:rsid w:val="003B3DF0"/>
    <w:rsid w:val="003B3E28"/>
    <w:rsid w:val="003B4E99"/>
    <w:rsid w:val="003B51C1"/>
    <w:rsid w:val="003B5228"/>
    <w:rsid w:val="003B6289"/>
    <w:rsid w:val="003B6836"/>
    <w:rsid w:val="003B683B"/>
    <w:rsid w:val="003B6B06"/>
    <w:rsid w:val="003B70E4"/>
    <w:rsid w:val="003B77DD"/>
    <w:rsid w:val="003C0028"/>
    <w:rsid w:val="003C0440"/>
    <w:rsid w:val="003C0538"/>
    <w:rsid w:val="003C08C8"/>
    <w:rsid w:val="003C0A97"/>
    <w:rsid w:val="003C0CEF"/>
    <w:rsid w:val="003C10EC"/>
    <w:rsid w:val="003C1A24"/>
    <w:rsid w:val="003C1B0D"/>
    <w:rsid w:val="003C1E08"/>
    <w:rsid w:val="003C1EB3"/>
    <w:rsid w:val="003C2B1B"/>
    <w:rsid w:val="003C3A43"/>
    <w:rsid w:val="003C3E42"/>
    <w:rsid w:val="003C5BBE"/>
    <w:rsid w:val="003C64AF"/>
    <w:rsid w:val="003C7160"/>
    <w:rsid w:val="003C7417"/>
    <w:rsid w:val="003C75AE"/>
    <w:rsid w:val="003D0E17"/>
    <w:rsid w:val="003D1742"/>
    <w:rsid w:val="003D1A11"/>
    <w:rsid w:val="003D1E28"/>
    <w:rsid w:val="003D2753"/>
    <w:rsid w:val="003D28F0"/>
    <w:rsid w:val="003D34C2"/>
    <w:rsid w:val="003D3DA1"/>
    <w:rsid w:val="003D449A"/>
    <w:rsid w:val="003D46F9"/>
    <w:rsid w:val="003D4B0C"/>
    <w:rsid w:val="003D5473"/>
    <w:rsid w:val="003D549D"/>
    <w:rsid w:val="003D5B42"/>
    <w:rsid w:val="003D5B64"/>
    <w:rsid w:val="003D5E02"/>
    <w:rsid w:val="003D6480"/>
    <w:rsid w:val="003D72DC"/>
    <w:rsid w:val="003D74B2"/>
    <w:rsid w:val="003E001D"/>
    <w:rsid w:val="003E141A"/>
    <w:rsid w:val="003E15CE"/>
    <w:rsid w:val="003E1886"/>
    <w:rsid w:val="003E1CF2"/>
    <w:rsid w:val="003E28E9"/>
    <w:rsid w:val="003E36FA"/>
    <w:rsid w:val="003E370A"/>
    <w:rsid w:val="003E3C15"/>
    <w:rsid w:val="003E4561"/>
    <w:rsid w:val="003E45CE"/>
    <w:rsid w:val="003E4B27"/>
    <w:rsid w:val="003E5360"/>
    <w:rsid w:val="003E54FE"/>
    <w:rsid w:val="003E56AA"/>
    <w:rsid w:val="003E5D06"/>
    <w:rsid w:val="003E5D39"/>
    <w:rsid w:val="003E5F27"/>
    <w:rsid w:val="003E7199"/>
    <w:rsid w:val="003E727C"/>
    <w:rsid w:val="003E727E"/>
    <w:rsid w:val="003E7CA1"/>
    <w:rsid w:val="003E7FDF"/>
    <w:rsid w:val="003F0108"/>
    <w:rsid w:val="003F061F"/>
    <w:rsid w:val="003F06C4"/>
    <w:rsid w:val="003F089D"/>
    <w:rsid w:val="003F0974"/>
    <w:rsid w:val="003F0A91"/>
    <w:rsid w:val="003F0C77"/>
    <w:rsid w:val="003F1923"/>
    <w:rsid w:val="003F1937"/>
    <w:rsid w:val="003F2E48"/>
    <w:rsid w:val="003F304E"/>
    <w:rsid w:val="003F334A"/>
    <w:rsid w:val="003F38B4"/>
    <w:rsid w:val="003F3F36"/>
    <w:rsid w:val="003F4420"/>
    <w:rsid w:val="003F485A"/>
    <w:rsid w:val="003F48D1"/>
    <w:rsid w:val="003F4B5A"/>
    <w:rsid w:val="003F5FE9"/>
    <w:rsid w:val="003F62C9"/>
    <w:rsid w:val="003F6937"/>
    <w:rsid w:val="003F6D07"/>
    <w:rsid w:val="003F6DE9"/>
    <w:rsid w:val="003F7102"/>
    <w:rsid w:val="003F7805"/>
    <w:rsid w:val="003F7FC8"/>
    <w:rsid w:val="004009C9"/>
    <w:rsid w:val="004009E2"/>
    <w:rsid w:val="004011B8"/>
    <w:rsid w:val="00401488"/>
    <w:rsid w:val="00402155"/>
    <w:rsid w:val="0040255A"/>
    <w:rsid w:val="00402FE9"/>
    <w:rsid w:val="00403233"/>
    <w:rsid w:val="0040328B"/>
    <w:rsid w:val="004034B8"/>
    <w:rsid w:val="0040392A"/>
    <w:rsid w:val="00403DB6"/>
    <w:rsid w:val="00403F82"/>
    <w:rsid w:val="004043A2"/>
    <w:rsid w:val="00404584"/>
    <w:rsid w:val="00405A60"/>
    <w:rsid w:val="00406A75"/>
    <w:rsid w:val="00407166"/>
    <w:rsid w:val="00407246"/>
    <w:rsid w:val="004079D6"/>
    <w:rsid w:val="004108A5"/>
    <w:rsid w:val="00411062"/>
    <w:rsid w:val="00411A84"/>
    <w:rsid w:val="00411B5B"/>
    <w:rsid w:val="00411D7F"/>
    <w:rsid w:val="00411E0D"/>
    <w:rsid w:val="0041219D"/>
    <w:rsid w:val="00412400"/>
    <w:rsid w:val="004124F9"/>
    <w:rsid w:val="00412B76"/>
    <w:rsid w:val="00413A33"/>
    <w:rsid w:val="00414647"/>
    <w:rsid w:val="00414720"/>
    <w:rsid w:val="00415834"/>
    <w:rsid w:val="00415F6E"/>
    <w:rsid w:val="00416AD3"/>
    <w:rsid w:val="00416E1A"/>
    <w:rsid w:val="00417108"/>
    <w:rsid w:val="00417206"/>
    <w:rsid w:val="00417460"/>
    <w:rsid w:val="00417725"/>
    <w:rsid w:val="004177BA"/>
    <w:rsid w:val="00417B34"/>
    <w:rsid w:val="00417D17"/>
    <w:rsid w:val="00417E6B"/>
    <w:rsid w:val="004209A4"/>
    <w:rsid w:val="004217FC"/>
    <w:rsid w:val="00422374"/>
    <w:rsid w:val="00422501"/>
    <w:rsid w:val="00422D29"/>
    <w:rsid w:val="00423513"/>
    <w:rsid w:val="00424968"/>
    <w:rsid w:val="00424F79"/>
    <w:rsid w:val="004256C6"/>
    <w:rsid w:val="00425F12"/>
    <w:rsid w:val="00426032"/>
    <w:rsid w:val="004261AC"/>
    <w:rsid w:val="00426E52"/>
    <w:rsid w:val="00427FA1"/>
    <w:rsid w:val="004303FB"/>
    <w:rsid w:val="00430513"/>
    <w:rsid w:val="004316CF"/>
    <w:rsid w:val="00431D8D"/>
    <w:rsid w:val="00432788"/>
    <w:rsid w:val="004329B3"/>
    <w:rsid w:val="004333D1"/>
    <w:rsid w:val="004336AA"/>
    <w:rsid w:val="00433A74"/>
    <w:rsid w:val="00434343"/>
    <w:rsid w:val="00434550"/>
    <w:rsid w:val="004345A1"/>
    <w:rsid w:val="00434665"/>
    <w:rsid w:val="00435506"/>
    <w:rsid w:val="00435C5C"/>
    <w:rsid w:val="004361A2"/>
    <w:rsid w:val="00436448"/>
    <w:rsid w:val="00437DEC"/>
    <w:rsid w:val="00440484"/>
    <w:rsid w:val="004412FE"/>
    <w:rsid w:val="004414CD"/>
    <w:rsid w:val="00441530"/>
    <w:rsid w:val="00441797"/>
    <w:rsid w:val="00441CCB"/>
    <w:rsid w:val="004434CD"/>
    <w:rsid w:val="004439BD"/>
    <w:rsid w:val="00443A81"/>
    <w:rsid w:val="00444015"/>
    <w:rsid w:val="004442E3"/>
    <w:rsid w:val="0044432A"/>
    <w:rsid w:val="0044442E"/>
    <w:rsid w:val="004447A4"/>
    <w:rsid w:val="00444ED4"/>
    <w:rsid w:val="0044510C"/>
    <w:rsid w:val="00445534"/>
    <w:rsid w:val="00445BA1"/>
    <w:rsid w:val="004463DE"/>
    <w:rsid w:val="0044694A"/>
    <w:rsid w:val="00446C8D"/>
    <w:rsid w:val="004511B4"/>
    <w:rsid w:val="0045139E"/>
    <w:rsid w:val="00451493"/>
    <w:rsid w:val="00451C27"/>
    <w:rsid w:val="00451D9A"/>
    <w:rsid w:val="00452658"/>
    <w:rsid w:val="00452F4C"/>
    <w:rsid w:val="00453556"/>
    <w:rsid w:val="00453C98"/>
    <w:rsid w:val="004547AF"/>
    <w:rsid w:val="004548E9"/>
    <w:rsid w:val="004557D2"/>
    <w:rsid w:val="00456B17"/>
    <w:rsid w:val="004570C2"/>
    <w:rsid w:val="00457612"/>
    <w:rsid w:val="00457667"/>
    <w:rsid w:val="0045782B"/>
    <w:rsid w:val="00460D90"/>
    <w:rsid w:val="00460E18"/>
    <w:rsid w:val="00460ED6"/>
    <w:rsid w:val="0046107B"/>
    <w:rsid w:val="004615AF"/>
    <w:rsid w:val="004615C5"/>
    <w:rsid w:val="00462508"/>
    <w:rsid w:val="004625A4"/>
    <w:rsid w:val="00463036"/>
    <w:rsid w:val="00463226"/>
    <w:rsid w:val="00463B5D"/>
    <w:rsid w:val="00464165"/>
    <w:rsid w:val="00464374"/>
    <w:rsid w:val="00464747"/>
    <w:rsid w:val="00464A01"/>
    <w:rsid w:val="004656F3"/>
    <w:rsid w:val="004664F6"/>
    <w:rsid w:val="004673D2"/>
    <w:rsid w:val="00467CEB"/>
    <w:rsid w:val="00467F6A"/>
    <w:rsid w:val="004703BD"/>
    <w:rsid w:val="00470CC7"/>
    <w:rsid w:val="004712B8"/>
    <w:rsid w:val="00471A8A"/>
    <w:rsid w:val="00471BC5"/>
    <w:rsid w:val="00471C47"/>
    <w:rsid w:val="00472094"/>
    <w:rsid w:val="004720C4"/>
    <w:rsid w:val="00472969"/>
    <w:rsid w:val="00472C33"/>
    <w:rsid w:val="00473082"/>
    <w:rsid w:val="0047365C"/>
    <w:rsid w:val="0047403A"/>
    <w:rsid w:val="00474CE2"/>
    <w:rsid w:val="00474F3E"/>
    <w:rsid w:val="004753DD"/>
    <w:rsid w:val="0047545D"/>
    <w:rsid w:val="004756EA"/>
    <w:rsid w:val="004760BB"/>
    <w:rsid w:val="00476966"/>
    <w:rsid w:val="00476F38"/>
    <w:rsid w:val="00477C3C"/>
    <w:rsid w:val="004800FD"/>
    <w:rsid w:val="004802BC"/>
    <w:rsid w:val="004805B2"/>
    <w:rsid w:val="004807E6"/>
    <w:rsid w:val="00480B60"/>
    <w:rsid w:val="00480F6B"/>
    <w:rsid w:val="00481265"/>
    <w:rsid w:val="004814DA"/>
    <w:rsid w:val="00481831"/>
    <w:rsid w:val="0048196D"/>
    <w:rsid w:val="00482466"/>
    <w:rsid w:val="00482BC7"/>
    <w:rsid w:val="00482D09"/>
    <w:rsid w:val="00482FD1"/>
    <w:rsid w:val="0048381B"/>
    <w:rsid w:val="00483C6D"/>
    <w:rsid w:val="004840E1"/>
    <w:rsid w:val="00484584"/>
    <w:rsid w:val="004855E7"/>
    <w:rsid w:val="00485AE1"/>
    <w:rsid w:val="00486769"/>
    <w:rsid w:val="00486E5B"/>
    <w:rsid w:val="00486ECD"/>
    <w:rsid w:val="0048774B"/>
    <w:rsid w:val="00487DE4"/>
    <w:rsid w:val="004908BB"/>
    <w:rsid w:val="00490989"/>
    <w:rsid w:val="004909ED"/>
    <w:rsid w:val="00490A77"/>
    <w:rsid w:val="00490CC0"/>
    <w:rsid w:val="00491C0D"/>
    <w:rsid w:val="00492314"/>
    <w:rsid w:val="00492634"/>
    <w:rsid w:val="004926BD"/>
    <w:rsid w:val="00492F0F"/>
    <w:rsid w:val="0049523D"/>
    <w:rsid w:val="00496591"/>
    <w:rsid w:val="00496593"/>
    <w:rsid w:val="00497156"/>
    <w:rsid w:val="004A0377"/>
    <w:rsid w:val="004A03EB"/>
    <w:rsid w:val="004A0A21"/>
    <w:rsid w:val="004A0AAC"/>
    <w:rsid w:val="004A0BDB"/>
    <w:rsid w:val="004A1188"/>
    <w:rsid w:val="004A1536"/>
    <w:rsid w:val="004A1B6E"/>
    <w:rsid w:val="004A1D2F"/>
    <w:rsid w:val="004A232C"/>
    <w:rsid w:val="004A2F0E"/>
    <w:rsid w:val="004A2FF9"/>
    <w:rsid w:val="004A384A"/>
    <w:rsid w:val="004A3AA8"/>
    <w:rsid w:val="004A4357"/>
    <w:rsid w:val="004A4ADB"/>
    <w:rsid w:val="004A4E36"/>
    <w:rsid w:val="004A4FEF"/>
    <w:rsid w:val="004A54F3"/>
    <w:rsid w:val="004A58FC"/>
    <w:rsid w:val="004A5E4D"/>
    <w:rsid w:val="004A6CCD"/>
    <w:rsid w:val="004A79C5"/>
    <w:rsid w:val="004A7E31"/>
    <w:rsid w:val="004B037D"/>
    <w:rsid w:val="004B065C"/>
    <w:rsid w:val="004B0D0F"/>
    <w:rsid w:val="004B0DF2"/>
    <w:rsid w:val="004B134E"/>
    <w:rsid w:val="004B1D48"/>
    <w:rsid w:val="004B20FE"/>
    <w:rsid w:val="004B2562"/>
    <w:rsid w:val="004B2886"/>
    <w:rsid w:val="004B2A84"/>
    <w:rsid w:val="004B2AE9"/>
    <w:rsid w:val="004B3128"/>
    <w:rsid w:val="004B34C4"/>
    <w:rsid w:val="004B37FE"/>
    <w:rsid w:val="004B4360"/>
    <w:rsid w:val="004B592A"/>
    <w:rsid w:val="004B5AA7"/>
    <w:rsid w:val="004B6E20"/>
    <w:rsid w:val="004B7081"/>
    <w:rsid w:val="004B7E00"/>
    <w:rsid w:val="004C00EC"/>
    <w:rsid w:val="004C07C9"/>
    <w:rsid w:val="004C0BFD"/>
    <w:rsid w:val="004C0CFD"/>
    <w:rsid w:val="004C0D5D"/>
    <w:rsid w:val="004C1028"/>
    <w:rsid w:val="004C1087"/>
    <w:rsid w:val="004C12A9"/>
    <w:rsid w:val="004C1E8C"/>
    <w:rsid w:val="004C2196"/>
    <w:rsid w:val="004C24C9"/>
    <w:rsid w:val="004C27A2"/>
    <w:rsid w:val="004C2F7C"/>
    <w:rsid w:val="004C327D"/>
    <w:rsid w:val="004C352B"/>
    <w:rsid w:val="004C3608"/>
    <w:rsid w:val="004C36E2"/>
    <w:rsid w:val="004C398C"/>
    <w:rsid w:val="004C4367"/>
    <w:rsid w:val="004C4714"/>
    <w:rsid w:val="004C5C31"/>
    <w:rsid w:val="004C5DF5"/>
    <w:rsid w:val="004C5E67"/>
    <w:rsid w:val="004C63C4"/>
    <w:rsid w:val="004C745B"/>
    <w:rsid w:val="004C7575"/>
    <w:rsid w:val="004C7A70"/>
    <w:rsid w:val="004C7B43"/>
    <w:rsid w:val="004D0027"/>
    <w:rsid w:val="004D062E"/>
    <w:rsid w:val="004D078D"/>
    <w:rsid w:val="004D07A8"/>
    <w:rsid w:val="004D089A"/>
    <w:rsid w:val="004D1269"/>
    <w:rsid w:val="004D22E2"/>
    <w:rsid w:val="004D2558"/>
    <w:rsid w:val="004D25B6"/>
    <w:rsid w:val="004D3906"/>
    <w:rsid w:val="004D4DE8"/>
    <w:rsid w:val="004D528F"/>
    <w:rsid w:val="004D55B3"/>
    <w:rsid w:val="004D578A"/>
    <w:rsid w:val="004D5AAF"/>
    <w:rsid w:val="004D6379"/>
    <w:rsid w:val="004D6686"/>
    <w:rsid w:val="004D70F7"/>
    <w:rsid w:val="004D7208"/>
    <w:rsid w:val="004E02A0"/>
    <w:rsid w:val="004E0868"/>
    <w:rsid w:val="004E14F1"/>
    <w:rsid w:val="004E162E"/>
    <w:rsid w:val="004E1873"/>
    <w:rsid w:val="004E200B"/>
    <w:rsid w:val="004E21F3"/>
    <w:rsid w:val="004E2564"/>
    <w:rsid w:val="004E27DC"/>
    <w:rsid w:val="004E3A77"/>
    <w:rsid w:val="004E40EB"/>
    <w:rsid w:val="004E4203"/>
    <w:rsid w:val="004E47A4"/>
    <w:rsid w:val="004E4D9B"/>
    <w:rsid w:val="004E4F8D"/>
    <w:rsid w:val="004E59B5"/>
    <w:rsid w:val="004E5D8A"/>
    <w:rsid w:val="004E603F"/>
    <w:rsid w:val="004E657B"/>
    <w:rsid w:val="004E67E2"/>
    <w:rsid w:val="004E737A"/>
    <w:rsid w:val="004E7788"/>
    <w:rsid w:val="004F0060"/>
    <w:rsid w:val="004F0499"/>
    <w:rsid w:val="004F1B66"/>
    <w:rsid w:val="004F207F"/>
    <w:rsid w:val="004F222C"/>
    <w:rsid w:val="004F23F7"/>
    <w:rsid w:val="004F24B5"/>
    <w:rsid w:val="004F2B2B"/>
    <w:rsid w:val="004F2D70"/>
    <w:rsid w:val="004F32D2"/>
    <w:rsid w:val="004F3719"/>
    <w:rsid w:val="004F3826"/>
    <w:rsid w:val="004F38B0"/>
    <w:rsid w:val="004F45BE"/>
    <w:rsid w:val="004F4A86"/>
    <w:rsid w:val="004F4EA2"/>
    <w:rsid w:val="004F55C8"/>
    <w:rsid w:val="004F6490"/>
    <w:rsid w:val="004F773B"/>
    <w:rsid w:val="004F7BEB"/>
    <w:rsid w:val="00500186"/>
    <w:rsid w:val="00500C20"/>
    <w:rsid w:val="00501845"/>
    <w:rsid w:val="00502157"/>
    <w:rsid w:val="00502305"/>
    <w:rsid w:val="00502442"/>
    <w:rsid w:val="0050259F"/>
    <w:rsid w:val="0050261F"/>
    <w:rsid w:val="0050293D"/>
    <w:rsid w:val="00502D35"/>
    <w:rsid w:val="005031C9"/>
    <w:rsid w:val="00503681"/>
    <w:rsid w:val="00503A88"/>
    <w:rsid w:val="00503AF5"/>
    <w:rsid w:val="00503D49"/>
    <w:rsid w:val="0050460B"/>
    <w:rsid w:val="0050485F"/>
    <w:rsid w:val="00504867"/>
    <w:rsid w:val="00505025"/>
    <w:rsid w:val="0050515B"/>
    <w:rsid w:val="0050560D"/>
    <w:rsid w:val="005057B5"/>
    <w:rsid w:val="00505CB2"/>
    <w:rsid w:val="00506049"/>
    <w:rsid w:val="00506433"/>
    <w:rsid w:val="005067A6"/>
    <w:rsid w:val="00507B69"/>
    <w:rsid w:val="005103E1"/>
    <w:rsid w:val="0051042B"/>
    <w:rsid w:val="00510901"/>
    <w:rsid w:val="00511137"/>
    <w:rsid w:val="00511283"/>
    <w:rsid w:val="00511E4A"/>
    <w:rsid w:val="0051224B"/>
    <w:rsid w:val="00512358"/>
    <w:rsid w:val="00512846"/>
    <w:rsid w:val="00512975"/>
    <w:rsid w:val="00512C42"/>
    <w:rsid w:val="00512E61"/>
    <w:rsid w:val="005137B5"/>
    <w:rsid w:val="00513B49"/>
    <w:rsid w:val="0051428D"/>
    <w:rsid w:val="00514E95"/>
    <w:rsid w:val="00514F19"/>
    <w:rsid w:val="0051557D"/>
    <w:rsid w:val="005156A2"/>
    <w:rsid w:val="0051581C"/>
    <w:rsid w:val="00515E84"/>
    <w:rsid w:val="00516454"/>
    <w:rsid w:val="0051669C"/>
    <w:rsid w:val="00516986"/>
    <w:rsid w:val="00516F43"/>
    <w:rsid w:val="005170AA"/>
    <w:rsid w:val="005170C8"/>
    <w:rsid w:val="0051710A"/>
    <w:rsid w:val="00517346"/>
    <w:rsid w:val="005173F1"/>
    <w:rsid w:val="005174E0"/>
    <w:rsid w:val="00517923"/>
    <w:rsid w:val="00517B86"/>
    <w:rsid w:val="00517DAF"/>
    <w:rsid w:val="005203D8"/>
    <w:rsid w:val="005209EA"/>
    <w:rsid w:val="005214B3"/>
    <w:rsid w:val="00521BAB"/>
    <w:rsid w:val="00522685"/>
    <w:rsid w:val="005227F4"/>
    <w:rsid w:val="005232F1"/>
    <w:rsid w:val="00523AC7"/>
    <w:rsid w:val="00523DDB"/>
    <w:rsid w:val="00524B40"/>
    <w:rsid w:val="0052534C"/>
    <w:rsid w:val="005255A9"/>
    <w:rsid w:val="005255DB"/>
    <w:rsid w:val="0052575A"/>
    <w:rsid w:val="005257B1"/>
    <w:rsid w:val="00525949"/>
    <w:rsid w:val="00525AC9"/>
    <w:rsid w:val="00525D04"/>
    <w:rsid w:val="0052681A"/>
    <w:rsid w:val="00527926"/>
    <w:rsid w:val="00527DA3"/>
    <w:rsid w:val="00527F72"/>
    <w:rsid w:val="00527F85"/>
    <w:rsid w:val="00530B1C"/>
    <w:rsid w:val="00530B51"/>
    <w:rsid w:val="00530C9C"/>
    <w:rsid w:val="00531273"/>
    <w:rsid w:val="005312EA"/>
    <w:rsid w:val="005322A7"/>
    <w:rsid w:val="005322BE"/>
    <w:rsid w:val="0053265E"/>
    <w:rsid w:val="00532972"/>
    <w:rsid w:val="00532AAC"/>
    <w:rsid w:val="00532C0A"/>
    <w:rsid w:val="005332FC"/>
    <w:rsid w:val="005334BE"/>
    <w:rsid w:val="00533627"/>
    <w:rsid w:val="0053394D"/>
    <w:rsid w:val="00533E26"/>
    <w:rsid w:val="00533E83"/>
    <w:rsid w:val="00533EE4"/>
    <w:rsid w:val="005342DB"/>
    <w:rsid w:val="00534739"/>
    <w:rsid w:val="00534F08"/>
    <w:rsid w:val="0053610E"/>
    <w:rsid w:val="005361C1"/>
    <w:rsid w:val="0053684A"/>
    <w:rsid w:val="00536898"/>
    <w:rsid w:val="00536AD1"/>
    <w:rsid w:val="005373BC"/>
    <w:rsid w:val="00537D72"/>
    <w:rsid w:val="00540527"/>
    <w:rsid w:val="00541AF6"/>
    <w:rsid w:val="00541D75"/>
    <w:rsid w:val="00541E9A"/>
    <w:rsid w:val="005425C5"/>
    <w:rsid w:val="005428C8"/>
    <w:rsid w:val="00542D3E"/>
    <w:rsid w:val="005432B0"/>
    <w:rsid w:val="005433F1"/>
    <w:rsid w:val="00543861"/>
    <w:rsid w:val="00543EB0"/>
    <w:rsid w:val="0054428C"/>
    <w:rsid w:val="00544346"/>
    <w:rsid w:val="00544860"/>
    <w:rsid w:val="00544CF7"/>
    <w:rsid w:val="00544EE4"/>
    <w:rsid w:val="00544F32"/>
    <w:rsid w:val="00544F91"/>
    <w:rsid w:val="00544FA1"/>
    <w:rsid w:val="005457F5"/>
    <w:rsid w:val="00545ED1"/>
    <w:rsid w:val="0054622B"/>
    <w:rsid w:val="00546EAC"/>
    <w:rsid w:val="0054792F"/>
    <w:rsid w:val="00547957"/>
    <w:rsid w:val="00550226"/>
    <w:rsid w:val="005502AC"/>
    <w:rsid w:val="00550C93"/>
    <w:rsid w:val="005512EF"/>
    <w:rsid w:val="005512F8"/>
    <w:rsid w:val="00551843"/>
    <w:rsid w:val="005525F0"/>
    <w:rsid w:val="00552870"/>
    <w:rsid w:val="005528F9"/>
    <w:rsid w:val="00553BE9"/>
    <w:rsid w:val="00553EC3"/>
    <w:rsid w:val="005545F4"/>
    <w:rsid w:val="005548B6"/>
    <w:rsid w:val="005555B5"/>
    <w:rsid w:val="00555700"/>
    <w:rsid w:val="005558C9"/>
    <w:rsid w:val="00555DCC"/>
    <w:rsid w:val="0055639A"/>
    <w:rsid w:val="005566B6"/>
    <w:rsid w:val="00556CFE"/>
    <w:rsid w:val="00557CC1"/>
    <w:rsid w:val="0056000B"/>
    <w:rsid w:val="00560B3F"/>
    <w:rsid w:val="0056118A"/>
    <w:rsid w:val="00561366"/>
    <w:rsid w:val="005614B4"/>
    <w:rsid w:val="005615AB"/>
    <w:rsid w:val="00561A95"/>
    <w:rsid w:val="00561C05"/>
    <w:rsid w:val="00561F98"/>
    <w:rsid w:val="00562052"/>
    <w:rsid w:val="005623AF"/>
    <w:rsid w:val="005626F8"/>
    <w:rsid w:val="005627A7"/>
    <w:rsid w:val="005629B7"/>
    <w:rsid w:val="005634F8"/>
    <w:rsid w:val="0056408B"/>
    <w:rsid w:val="00564606"/>
    <w:rsid w:val="00564B3B"/>
    <w:rsid w:val="00566C7F"/>
    <w:rsid w:val="00566CDB"/>
    <w:rsid w:val="00567AA3"/>
    <w:rsid w:val="00567C7C"/>
    <w:rsid w:val="00567CEE"/>
    <w:rsid w:val="00567D54"/>
    <w:rsid w:val="005700B4"/>
    <w:rsid w:val="005701FB"/>
    <w:rsid w:val="00570396"/>
    <w:rsid w:val="0057065F"/>
    <w:rsid w:val="00570C09"/>
    <w:rsid w:val="005710CF"/>
    <w:rsid w:val="00571E10"/>
    <w:rsid w:val="00571EA3"/>
    <w:rsid w:val="005725D2"/>
    <w:rsid w:val="00572614"/>
    <w:rsid w:val="005731F0"/>
    <w:rsid w:val="005733E6"/>
    <w:rsid w:val="00573699"/>
    <w:rsid w:val="00573875"/>
    <w:rsid w:val="0057438B"/>
    <w:rsid w:val="00574A84"/>
    <w:rsid w:val="0057533E"/>
    <w:rsid w:val="00575EE7"/>
    <w:rsid w:val="00576DCE"/>
    <w:rsid w:val="00577CF6"/>
    <w:rsid w:val="00580C2B"/>
    <w:rsid w:val="0058195C"/>
    <w:rsid w:val="00581D8D"/>
    <w:rsid w:val="00581E60"/>
    <w:rsid w:val="005820F8"/>
    <w:rsid w:val="00582395"/>
    <w:rsid w:val="00582FCC"/>
    <w:rsid w:val="00583237"/>
    <w:rsid w:val="00583521"/>
    <w:rsid w:val="005837E3"/>
    <w:rsid w:val="0058396D"/>
    <w:rsid w:val="00583E4F"/>
    <w:rsid w:val="00583FF2"/>
    <w:rsid w:val="0058450B"/>
    <w:rsid w:val="00584B7C"/>
    <w:rsid w:val="00584BD3"/>
    <w:rsid w:val="005852E1"/>
    <w:rsid w:val="00586251"/>
    <w:rsid w:val="005864D9"/>
    <w:rsid w:val="00586610"/>
    <w:rsid w:val="00586CA7"/>
    <w:rsid w:val="00586E7B"/>
    <w:rsid w:val="005871F3"/>
    <w:rsid w:val="0058723C"/>
    <w:rsid w:val="00587748"/>
    <w:rsid w:val="00587989"/>
    <w:rsid w:val="00587A39"/>
    <w:rsid w:val="00587D38"/>
    <w:rsid w:val="00587EB5"/>
    <w:rsid w:val="005912E5"/>
    <w:rsid w:val="00591415"/>
    <w:rsid w:val="005916AE"/>
    <w:rsid w:val="00591897"/>
    <w:rsid w:val="00591AAD"/>
    <w:rsid w:val="00591CD2"/>
    <w:rsid w:val="0059237D"/>
    <w:rsid w:val="00592438"/>
    <w:rsid w:val="00592CFA"/>
    <w:rsid w:val="00593042"/>
    <w:rsid w:val="005931EA"/>
    <w:rsid w:val="005934E5"/>
    <w:rsid w:val="005935B9"/>
    <w:rsid w:val="0059453D"/>
    <w:rsid w:val="00594A54"/>
    <w:rsid w:val="0059691E"/>
    <w:rsid w:val="00596D66"/>
    <w:rsid w:val="00597F24"/>
    <w:rsid w:val="005A03F5"/>
    <w:rsid w:val="005A08E4"/>
    <w:rsid w:val="005A0E9F"/>
    <w:rsid w:val="005A122E"/>
    <w:rsid w:val="005A13BF"/>
    <w:rsid w:val="005A2609"/>
    <w:rsid w:val="005A276A"/>
    <w:rsid w:val="005A2AF6"/>
    <w:rsid w:val="005A2F5F"/>
    <w:rsid w:val="005A2FEF"/>
    <w:rsid w:val="005A3257"/>
    <w:rsid w:val="005A44DA"/>
    <w:rsid w:val="005A4F1D"/>
    <w:rsid w:val="005A529E"/>
    <w:rsid w:val="005A58A3"/>
    <w:rsid w:val="005A5E2D"/>
    <w:rsid w:val="005A6272"/>
    <w:rsid w:val="005A715B"/>
    <w:rsid w:val="005A7367"/>
    <w:rsid w:val="005A7491"/>
    <w:rsid w:val="005A7B40"/>
    <w:rsid w:val="005A7BA9"/>
    <w:rsid w:val="005B0097"/>
    <w:rsid w:val="005B01DA"/>
    <w:rsid w:val="005B0240"/>
    <w:rsid w:val="005B09AD"/>
    <w:rsid w:val="005B0FB9"/>
    <w:rsid w:val="005B11DD"/>
    <w:rsid w:val="005B1AF0"/>
    <w:rsid w:val="005B1B6B"/>
    <w:rsid w:val="005B1EE0"/>
    <w:rsid w:val="005B2041"/>
    <w:rsid w:val="005B26B4"/>
    <w:rsid w:val="005B29E1"/>
    <w:rsid w:val="005B2C5D"/>
    <w:rsid w:val="005B2DF1"/>
    <w:rsid w:val="005B3438"/>
    <w:rsid w:val="005B34D2"/>
    <w:rsid w:val="005B45E8"/>
    <w:rsid w:val="005B5D7D"/>
    <w:rsid w:val="005B5F8D"/>
    <w:rsid w:val="005B63AE"/>
    <w:rsid w:val="005B67F8"/>
    <w:rsid w:val="005B6AA8"/>
    <w:rsid w:val="005B6F78"/>
    <w:rsid w:val="005B7043"/>
    <w:rsid w:val="005B762F"/>
    <w:rsid w:val="005B7D07"/>
    <w:rsid w:val="005B7F9B"/>
    <w:rsid w:val="005C06B0"/>
    <w:rsid w:val="005C0D91"/>
    <w:rsid w:val="005C1054"/>
    <w:rsid w:val="005C27CD"/>
    <w:rsid w:val="005C3059"/>
    <w:rsid w:val="005C3317"/>
    <w:rsid w:val="005C3985"/>
    <w:rsid w:val="005C41D5"/>
    <w:rsid w:val="005C4C39"/>
    <w:rsid w:val="005C4F07"/>
    <w:rsid w:val="005C51AB"/>
    <w:rsid w:val="005C51FA"/>
    <w:rsid w:val="005C5492"/>
    <w:rsid w:val="005C6B01"/>
    <w:rsid w:val="005C6E04"/>
    <w:rsid w:val="005C73CE"/>
    <w:rsid w:val="005C74CC"/>
    <w:rsid w:val="005C7740"/>
    <w:rsid w:val="005C7C1D"/>
    <w:rsid w:val="005D0264"/>
    <w:rsid w:val="005D02A7"/>
    <w:rsid w:val="005D08A7"/>
    <w:rsid w:val="005D09C6"/>
    <w:rsid w:val="005D09CA"/>
    <w:rsid w:val="005D0A54"/>
    <w:rsid w:val="005D0B49"/>
    <w:rsid w:val="005D0E62"/>
    <w:rsid w:val="005D1244"/>
    <w:rsid w:val="005D1941"/>
    <w:rsid w:val="005D1DD8"/>
    <w:rsid w:val="005D2329"/>
    <w:rsid w:val="005D31F7"/>
    <w:rsid w:val="005D32A9"/>
    <w:rsid w:val="005D336F"/>
    <w:rsid w:val="005D357B"/>
    <w:rsid w:val="005D3899"/>
    <w:rsid w:val="005D3C33"/>
    <w:rsid w:val="005D40C8"/>
    <w:rsid w:val="005D475A"/>
    <w:rsid w:val="005D4C42"/>
    <w:rsid w:val="005D4DF2"/>
    <w:rsid w:val="005D571B"/>
    <w:rsid w:val="005D6234"/>
    <w:rsid w:val="005D780F"/>
    <w:rsid w:val="005D7BE0"/>
    <w:rsid w:val="005D7D2B"/>
    <w:rsid w:val="005E01E3"/>
    <w:rsid w:val="005E07A4"/>
    <w:rsid w:val="005E101D"/>
    <w:rsid w:val="005E12A1"/>
    <w:rsid w:val="005E1512"/>
    <w:rsid w:val="005E2910"/>
    <w:rsid w:val="005E30FB"/>
    <w:rsid w:val="005E3650"/>
    <w:rsid w:val="005E367A"/>
    <w:rsid w:val="005E391F"/>
    <w:rsid w:val="005E41D4"/>
    <w:rsid w:val="005E425F"/>
    <w:rsid w:val="005E475E"/>
    <w:rsid w:val="005E48C7"/>
    <w:rsid w:val="005E50D2"/>
    <w:rsid w:val="005E55BD"/>
    <w:rsid w:val="005E64F0"/>
    <w:rsid w:val="005E6B3C"/>
    <w:rsid w:val="005F0436"/>
    <w:rsid w:val="005F087D"/>
    <w:rsid w:val="005F103D"/>
    <w:rsid w:val="005F129A"/>
    <w:rsid w:val="005F17B2"/>
    <w:rsid w:val="005F1F1B"/>
    <w:rsid w:val="005F241F"/>
    <w:rsid w:val="005F3716"/>
    <w:rsid w:val="005F39D9"/>
    <w:rsid w:val="005F44D3"/>
    <w:rsid w:val="005F4C51"/>
    <w:rsid w:val="005F54C2"/>
    <w:rsid w:val="005F56C9"/>
    <w:rsid w:val="005F5B0A"/>
    <w:rsid w:val="005F63F6"/>
    <w:rsid w:val="005F6570"/>
    <w:rsid w:val="005F7744"/>
    <w:rsid w:val="005F77EF"/>
    <w:rsid w:val="005F78DF"/>
    <w:rsid w:val="005F7E80"/>
    <w:rsid w:val="00600501"/>
    <w:rsid w:val="006005D5"/>
    <w:rsid w:val="00600CF8"/>
    <w:rsid w:val="00601135"/>
    <w:rsid w:val="00601C4D"/>
    <w:rsid w:val="006022AC"/>
    <w:rsid w:val="006022E8"/>
    <w:rsid w:val="006025F0"/>
    <w:rsid w:val="00603165"/>
    <w:rsid w:val="006045F1"/>
    <w:rsid w:val="00604D65"/>
    <w:rsid w:val="006051DC"/>
    <w:rsid w:val="006055A5"/>
    <w:rsid w:val="0060581C"/>
    <w:rsid w:val="006062E9"/>
    <w:rsid w:val="00606324"/>
    <w:rsid w:val="00606640"/>
    <w:rsid w:val="00606902"/>
    <w:rsid w:val="00606EC4"/>
    <w:rsid w:val="0060764D"/>
    <w:rsid w:val="006077AB"/>
    <w:rsid w:val="00607A79"/>
    <w:rsid w:val="00607D1C"/>
    <w:rsid w:val="00610357"/>
    <w:rsid w:val="00610429"/>
    <w:rsid w:val="0061074D"/>
    <w:rsid w:val="00610946"/>
    <w:rsid w:val="006109C6"/>
    <w:rsid w:val="0061128C"/>
    <w:rsid w:val="006113BA"/>
    <w:rsid w:val="00611530"/>
    <w:rsid w:val="00612336"/>
    <w:rsid w:val="006123D1"/>
    <w:rsid w:val="00612D3D"/>
    <w:rsid w:val="00612D75"/>
    <w:rsid w:val="0061302D"/>
    <w:rsid w:val="00613088"/>
    <w:rsid w:val="0061324B"/>
    <w:rsid w:val="006136DB"/>
    <w:rsid w:val="0061406E"/>
    <w:rsid w:val="00614706"/>
    <w:rsid w:val="00616589"/>
    <w:rsid w:val="00616A66"/>
    <w:rsid w:val="00617495"/>
    <w:rsid w:val="006176C0"/>
    <w:rsid w:val="00617889"/>
    <w:rsid w:val="006178B6"/>
    <w:rsid w:val="00617ADF"/>
    <w:rsid w:val="00620B34"/>
    <w:rsid w:val="00620C22"/>
    <w:rsid w:val="00621341"/>
    <w:rsid w:val="0062179D"/>
    <w:rsid w:val="00621BCE"/>
    <w:rsid w:val="00621E31"/>
    <w:rsid w:val="00622A63"/>
    <w:rsid w:val="00622E55"/>
    <w:rsid w:val="00623BD5"/>
    <w:rsid w:val="00624773"/>
    <w:rsid w:val="006248B9"/>
    <w:rsid w:val="00624F3F"/>
    <w:rsid w:val="00625EB6"/>
    <w:rsid w:val="0062674B"/>
    <w:rsid w:val="0062718F"/>
    <w:rsid w:val="0062742C"/>
    <w:rsid w:val="006277D2"/>
    <w:rsid w:val="0062796D"/>
    <w:rsid w:val="00627B6A"/>
    <w:rsid w:val="0063005F"/>
    <w:rsid w:val="0063051B"/>
    <w:rsid w:val="00630A78"/>
    <w:rsid w:val="00631178"/>
    <w:rsid w:val="006318B6"/>
    <w:rsid w:val="00631EE8"/>
    <w:rsid w:val="006320C8"/>
    <w:rsid w:val="00632AF1"/>
    <w:rsid w:val="00632E03"/>
    <w:rsid w:val="00632E9F"/>
    <w:rsid w:val="00633141"/>
    <w:rsid w:val="00634193"/>
    <w:rsid w:val="00634DDA"/>
    <w:rsid w:val="006351F8"/>
    <w:rsid w:val="00635808"/>
    <w:rsid w:val="00635854"/>
    <w:rsid w:val="00637090"/>
    <w:rsid w:val="006379A5"/>
    <w:rsid w:val="00637F22"/>
    <w:rsid w:val="00640D4A"/>
    <w:rsid w:val="00641568"/>
    <w:rsid w:val="0064164D"/>
    <w:rsid w:val="00642325"/>
    <w:rsid w:val="00642978"/>
    <w:rsid w:val="00644162"/>
    <w:rsid w:val="00644A1B"/>
    <w:rsid w:val="006450CB"/>
    <w:rsid w:val="00645266"/>
    <w:rsid w:val="00645303"/>
    <w:rsid w:val="00645404"/>
    <w:rsid w:val="006456D0"/>
    <w:rsid w:val="006458CB"/>
    <w:rsid w:val="00646786"/>
    <w:rsid w:val="00646E5E"/>
    <w:rsid w:val="006473B1"/>
    <w:rsid w:val="00647598"/>
    <w:rsid w:val="006478DD"/>
    <w:rsid w:val="006478F0"/>
    <w:rsid w:val="00647B2A"/>
    <w:rsid w:val="00647DB4"/>
    <w:rsid w:val="00647DCE"/>
    <w:rsid w:val="00650ABE"/>
    <w:rsid w:val="00650FF5"/>
    <w:rsid w:val="00651227"/>
    <w:rsid w:val="006533B6"/>
    <w:rsid w:val="006533BD"/>
    <w:rsid w:val="00653491"/>
    <w:rsid w:val="006538CC"/>
    <w:rsid w:val="00653D91"/>
    <w:rsid w:val="00654116"/>
    <w:rsid w:val="00654671"/>
    <w:rsid w:val="006546DC"/>
    <w:rsid w:val="00655721"/>
    <w:rsid w:val="006558CB"/>
    <w:rsid w:val="0065649A"/>
    <w:rsid w:val="00656A51"/>
    <w:rsid w:val="00656A72"/>
    <w:rsid w:val="0065716F"/>
    <w:rsid w:val="00657B63"/>
    <w:rsid w:val="00657E5B"/>
    <w:rsid w:val="00657F00"/>
    <w:rsid w:val="006605B6"/>
    <w:rsid w:val="00660FCF"/>
    <w:rsid w:val="00661FB9"/>
    <w:rsid w:val="006621A9"/>
    <w:rsid w:val="0066223A"/>
    <w:rsid w:val="00662461"/>
    <w:rsid w:val="00662BF7"/>
    <w:rsid w:val="00662EB0"/>
    <w:rsid w:val="00663623"/>
    <w:rsid w:val="0066372F"/>
    <w:rsid w:val="00663ACE"/>
    <w:rsid w:val="00663F16"/>
    <w:rsid w:val="00663F5D"/>
    <w:rsid w:val="0066408A"/>
    <w:rsid w:val="00664872"/>
    <w:rsid w:val="00664C75"/>
    <w:rsid w:val="00664D32"/>
    <w:rsid w:val="00665181"/>
    <w:rsid w:val="006651EF"/>
    <w:rsid w:val="006667CE"/>
    <w:rsid w:val="00666BF6"/>
    <w:rsid w:val="0066760D"/>
    <w:rsid w:val="0066773F"/>
    <w:rsid w:val="006702C3"/>
    <w:rsid w:val="006710AC"/>
    <w:rsid w:val="006712EA"/>
    <w:rsid w:val="00671EC5"/>
    <w:rsid w:val="006721D8"/>
    <w:rsid w:val="006726EE"/>
    <w:rsid w:val="00672866"/>
    <w:rsid w:val="00672CBF"/>
    <w:rsid w:val="0067307A"/>
    <w:rsid w:val="00673236"/>
    <w:rsid w:val="0067408F"/>
    <w:rsid w:val="0067569E"/>
    <w:rsid w:val="006759B1"/>
    <w:rsid w:val="006760D0"/>
    <w:rsid w:val="00676732"/>
    <w:rsid w:val="00676C20"/>
    <w:rsid w:val="00676D99"/>
    <w:rsid w:val="00676DCB"/>
    <w:rsid w:val="006778D1"/>
    <w:rsid w:val="006778F0"/>
    <w:rsid w:val="00680F0F"/>
    <w:rsid w:val="00680F4E"/>
    <w:rsid w:val="00681869"/>
    <w:rsid w:val="0068222A"/>
    <w:rsid w:val="00682F9C"/>
    <w:rsid w:val="00683434"/>
    <w:rsid w:val="00683672"/>
    <w:rsid w:val="00683C3D"/>
    <w:rsid w:val="00684061"/>
    <w:rsid w:val="00684E34"/>
    <w:rsid w:val="00684F63"/>
    <w:rsid w:val="00685095"/>
    <w:rsid w:val="006856B4"/>
    <w:rsid w:val="00685FA7"/>
    <w:rsid w:val="00686025"/>
    <w:rsid w:val="00686037"/>
    <w:rsid w:val="0068667A"/>
    <w:rsid w:val="00686A7E"/>
    <w:rsid w:val="00686AB6"/>
    <w:rsid w:val="00686F1D"/>
    <w:rsid w:val="0068710B"/>
    <w:rsid w:val="00687A49"/>
    <w:rsid w:val="00687B78"/>
    <w:rsid w:val="00687BB2"/>
    <w:rsid w:val="00687DC9"/>
    <w:rsid w:val="00690225"/>
    <w:rsid w:val="006907EC"/>
    <w:rsid w:val="00690EC9"/>
    <w:rsid w:val="00690F04"/>
    <w:rsid w:val="00691412"/>
    <w:rsid w:val="00691AC8"/>
    <w:rsid w:val="00691B85"/>
    <w:rsid w:val="00692904"/>
    <w:rsid w:val="00692937"/>
    <w:rsid w:val="0069334D"/>
    <w:rsid w:val="006934FB"/>
    <w:rsid w:val="006935E2"/>
    <w:rsid w:val="00693642"/>
    <w:rsid w:val="00693B70"/>
    <w:rsid w:val="00694252"/>
    <w:rsid w:val="00694513"/>
    <w:rsid w:val="00694B62"/>
    <w:rsid w:val="00694DEA"/>
    <w:rsid w:val="0069522E"/>
    <w:rsid w:val="006960B8"/>
    <w:rsid w:val="00696F37"/>
    <w:rsid w:val="00697091"/>
    <w:rsid w:val="006974EB"/>
    <w:rsid w:val="006977F1"/>
    <w:rsid w:val="00697BA9"/>
    <w:rsid w:val="00697BEF"/>
    <w:rsid w:val="006A01F1"/>
    <w:rsid w:val="006A03E9"/>
    <w:rsid w:val="006A04AC"/>
    <w:rsid w:val="006A0B29"/>
    <w:rsid w:val="006A1105"/>
    <w:rsid w:val="006A1BEE"/>
    <w:rsid w:val="006A1C0B"/>
    <w:rsid w:val="006A1D11"/>
    <w:rsid w:val="006A2BEF"/>
    <w:rsid w:val="006A3180"/>
    <w:rsid w:val="006A32C7"/>
    <w:rsid w:val="006A3AA2"/>
    <w:rsid w:val="006A474D"/>
    <w:rsid w:val="006A4935"/>
    <w:rsid w:val="006A4A5D"/>
    <w:rsid w:val="006A4C6E"/>
    <w:rsid w:val="006A5120"/>
    <w:rsid w:val="006A5308"/>
    <w:rsid w:val="006A57D3"/>
    <w:rsid w:val="006A6257"/>
    <w:rsid w:val="006A6662"/>
    <w:rsid w:val="006A68AA"/>
    <w:rsid w:val="006A68BF"/>
    <w:rsid w:val="006A6AFB"/>
    <w:rsid w:val="006A6E7A"/>
    <w:rsid w:val="006A75F5"/>
    <w:rsid w:val="006B1182"/>
    <w:rsid w:val="006B1722"/>
    <w:rsid w:val="006B1856"/>
    <w:rsid w:val="006B19B2"/>
    <w:rsid w:val="006B1A5A"/>
    <w:rsid w:val="006B2895"/>
    <w:rsid w:val="006B337E"/>
    <w:rsid w:val="006B379A"/>
    <w:rsid w:val="006B3EA0"/>
    <w:rsid w:val="006B40C3"/>
    <w:rsid w:val="006B42CC"/>
    <w:rsid w:val="006B44A2"/>
    <w:rsid w:val="006B4AE7"/>
    <w:rsid w:val="006B4D98"/>
    <w:rsid w:val="006B5A8C"/>
    <w:rsid w:val="006B73D9"/>
    <w:rsid w:val="006B7A06"/>
    <w:rsid w:val="006C158E"/>
    <w:rsid w:val="006C1AB5"/>
    <w:rsid w:val="006C1B84"/>
    <w:rsid w:val="006C268D"/>
    <w:rsid w:val="006C26AE"/>
    <w:rsid w:val="006C3144"/>
    <w:rsid w:val="006C3867"/>
    <w:rsid w:val="006C3904"/>
    <w:rsid w:val="006C3AB3"/>
    <w:rsid w:val="006C42DB"/>
    <w:rsid w:val="006C4C2B"/>
    <w:rsid w:val="006C4F37"/>
    <w:rsid w:val="006C525F"/>
    <w:rsid w:val="006C671C"/>
    <w:rsid w:val="006C6EA6"/>
    <w:rsid w:val="006C711A"/>
    <w:rsid w:val="006C713E"/>
    <w:rsid w:val="006C7272"/>
    <w:rsid w:val="006C7504"/>
    <w:rsid w:val="006C758A"/>
    <w:rsid w:val="006C7716"/>
    <w:rsid w:val="006D01F7"/>
    <w:rsid w:val="006D033B"/>
    <w:rsid w:val="006D0551"/>
    <w:rsid w:val="006D0624"/>
    <w:rsid w:val="006D0C92"/>
    <w:rsid w:val="006D0EC4"/>
    <w:rsid w:val="006D1695"/>
    <w:rsid w:val="006D37A8"/>
    <w:rsid w:val="006D380B"/>
    <w:rsid w:val="006D391B"/>
    <w:rsid w:val="006D3B4D"/>
    <w:rsid w:val="006D3E85"/>
    <w:rsid w:val="006D3F9D"/>
    <w:rsid w:val="006D40D3"/>
    <w:rsid w:val="006D562F"/>
    <w:rsid w:val="006D59EC"/>
    <w:rsid w:val="006D6705"/>
    <w:rsid w:val="006D6A24"/>
    <w:rsid w:val="006D6DA3"/>
    <w:rsid w:val="006D6DDD"/>
    <w:rsid w:val="006D6FAA"/>
    <w:rsid w:val="006D6FD9"/>
    <w:rsid w:val="006D74A9"/>
    <w:rsid w:val="006D7E78"/>
    <w:rsid w:val="006E016F"/>
    <w:rsid w:val="006E0BD0"/>
    <w:rsid w:val="006E0E3A"/>
    <w:rsid w:val="006E1541"/>
    <w:rsid w:val="006E154B"/>
    <w:rsid w:val="006E15B8"/>
    <w:rsid w:val="006E1A56"/>
    <w:rsid w:val="006E1B5D"/>
    <w:rsid w:val="006E2047"/>
    <w:rsid w:val="006E2325"/>
    <w:rsid w:val="006E2447"/>
    <w:rsid w:val="006E2EA5"/>
    <w:rsid w:val="006E36F6"/>
    <w:rsid w:val="006E3B16"/>
    <w:rsid w:val="006E45BA"/>
    <w:rsid w:val="006E4A2C"/>
    <w:rsid w:val="006E4A35"/>
    <w:rsid w:val="006E4BC5"/>
    <w:rsid w:val="006E4F1D"/>
    <w:rsid w:val="006E55F9"/>
    <w:rsid w:val="006E6751"/>
    <w:rsid w:val="006E6FB8"/>
    <w:rsid w:val="006E7035"/>
    <w:rsid w:val="006E75F5"/>
    <w:rsid w:val="006E7918"/>
    <w:rsid w:val="006E7A9E"/>
    <w:rsid w:val="006F0123"/>
    <w:rsid w:val="006F178B"/>
    <w:rsid w:val="006F179B"/>
    <w:rsid w:val="006F1AEF"/>
    <w:rsid w:val="006F22DD"/>
    <w:rsid w:val="006F25E2"/>
    <w:rsid w:val="006F2BF4"/>
    <w:rsid w:val="006F2F5B"/>
    <w:rsid w:val="006F311F"/>
    <w:rsid w:val="006F31F8"/>
    <w:rsid w:val="006F33D2"/>
    <w:rsid w:val="006F33F7"/>
    <w:rsid w:val="006F3844"/>
    <w:rsid w:val="006F3B35"/>
    <w:rsid w:val="006F3FB3"/>
    <w:rsid w:val="006F413E"/>
    <w:rsid w:val="006F415F"/>
    <w:rsid w:val="006F57BE"/>
    <w:rsid w:val="006F589C"/>
    <w:rsid w:val="006F5F3B"/>
    <w:rsid w:val="006F6534"/>
    <w:rsid w:val="006F7474"/>
    <w:rsid w:val="006F758D"/>
    <w:rsid w:val="006F7A0A"/>
    <w:rsid w:val="0070018B"/>
    <w:rsid w:val="0070069D"/>
    <w:rsid w:val="007014BC"/>
    <w:rsid w:val="007015D0"/>
    <w:rsid w:val="00701913"/>
    <w:rsid w:val="007021A5"/>
    <w:rsid w:val="00702804"/>
    <w:rsid w:val="0070299A"/>
    <w:rsid w:val="0070343A"/>
    <w:rsid w:val="00703731"/>
    <w:rsid w:val="0070381F"/>
    <w:rsid w:val="00703832"/>
    <w:rsid w:val="00703A88"/>
    <w:rsid w:val="00703EE3"/>
    <w:rsid w:val="00704374"/>
    <w:rsid w:val="0070514B"/>
    <w:rsid w:val="0070540B"/>
    <w:rsid w:val="00705495"/>
    <w:rsid w:val="007055EF"/>
    <w:rsid w:val="00705680"/>
    <w:rsid w:val="0070576A"/>
    <w:rsid w:val="0070596F"/>
    <w:rsid w:val="00705F2D"/>
    <w:rsid w:val="007060AE"/>
    <w:rsid w:val="007068B6"/>
    <w:rsid w:val="00706BF5"/>
    <w:rsid w:val="00706C77"/>
    <w:rsid w:val="0070720C"/>
    <w:rsid w:val="0070766F"/>
    <w:rsid w:val="007077DA"/>
    <w:rsid w:val="007077E2"/>
    <w:rsid w:val="00707CD4"/>
    <w:rsid w:val="0071071D"/>
    <w:rsid w:val="007108D2"/>
    <w:rsid w:val="00710938"/>
    <w:rsid w:val="00711062"/>
    <w:rsid w:val="0071106C"/>
    <w:rsid w:val="007111E9"/>
    <w:rsid w:val="00711386"/>
    <w:rsid w:val="00711C18"/>
    <w:rsid w:val="00711E1E"/>
    <w:rsid w:val="00711F94"/>
    <w:rsid w:val="0071220D"/>
    <w:rsid w:val="007123C5"/>
    <w:rsid w:val="00712701"/>
    <w:rsid w:val="00712A3C"/>
    <w:rsid w:val="00712D6C"/>
    <w:rsid w:val="0071408A"/>
    <w:rsid w:val="007147C1"/>
    <w:rsid w:val="0071487A"/>
    <w:rsid w:val="00714A6B"/>
    <w:rsid w:val="00714E66"/>
    <w:rsid w:val="007158F5"/>
    <w:rsid w:val="00715CBB"/>
    <w:rsid w:val="00715F89"/>
    <w:rsid w:val="00716331"/>
    <w:rsid w:val="00716920"/>
    <w:rsid w:val="00716A31"/>
    <w:rsid w:val="00717690"/>
    <w:rsid w:val="00717AD2"/>
    <w:rsid w:val="00717CC3"/>
    <w:rsid w:val="00717EAF"/>
    <w:rsid w:val="00717F4B"/>
    <w:rsid w:val="0072001F"/>
    <w:rsid w:val="007207B6"/>
    <w:rsid w:val="007223BA"/>
    <w:rsid w:val="00723385"/>
    <w:rsid w:val="00724EF6"/>
    <w:rsid w:val="00725773"/>
    <w:rsid w:val="00725CF7"/>
    <w:rsid w:val="00725D4B"/>
    <w:rsid w:val="00726036"/>
    <w:rsid w:val="00726352"/>
    <w:rsid w:val="0072733B"/>
    <w:rsid w:val="00727A99"/>
    <w:rsid w:val="00727AD8"/>
    <w:rsid w:val="00730996"/>
    <w:rsid w:val="00730A31"/>
    <w:rsid w:val="00732313"/>
    <w:rsid w:val="007326A5"/>
    <w:rsid w:val="007327A1"/>
    <w:rsid w:val="00732FAE"/>
    <w:rsid w:val="0073327D"/>
    <w:rsid w:val="00733518"/>
    <w:rsid w:val="0073358D"/>
    <w:rsid w:val="00733E79"/>
    <w:rsid w:val="007340AE"/>
    <w:rsid w:val="0073475D"/>
    <w:rsid w:val="007349F2"/>
    <w:rsid w:val="00735026"/>
    <w:rsid w:val="0073509A"/>
    <w:rsid w:val="007350F8"/>
    <w:rsid w:val="00735CD0"/>
    <w:rsid w:val="00735D60"/>
    <w:rsid w:val="00735F65"/>
    <w:rsid w:val="00735FC8"/>
    <w:rsid w:val="00736183"/>
    <w:rsid w:val="007367F3"/>
    <w:rsid w:val="0073693F"/>
    <w:rsid w:val="00736BA0"/>
    <w:rsid w:val="00736EEE"/>
    <w:rsid w:val="00736EEF"/>
    <w:rsid w:val="0073718A"/>
    <w:rsid w:val="00740CE5"/>
    <w:rsid w:val="0074106C"/>
    <w:rsid w:val="00743AAF"/>
    <w:rsid w:val="007442BD"/>
    <w:rsid w:val="00745621"/>
    <w:rsid w:val="0074601C"/>
    <w:rsid w:val="00746C54"/>
    <w:rsid w:val="00746DC4"/>
    <w:rsid w:val="0074704F"/>
    <w:rsid w:val="007477F5"/>
    <w:rsid w:val="0074795A"/>
    <w:rsid w:val="007507C7"/>
    <w:rsid w:val="007510D1"/>
    <w:rsid w:val="007515F1"/>
    <w:rsid w:val="00751ADA"/>
    <w:rsid w:val="00751AED"/>
    <w:rsid w:val="007520F3"/>
    <w:rsid w:val="0075226E"/>
    <w:rsid w:val="0075245E"/>
    <w:rsid w:val="007526F2"/>
    <w:rsid w:val="00752B0C"/>
    <w:rsid w:val="00752F42"/>
    <w:rsid w:val="007538B8"/>
    <w:rsid w:val="00753C6F"/>
    <w:rsid w:val="007544FB"/>
    <w:rsid w:val="00755358"/>
    <w:rsid w:val="007559D3"/>
    <w:rsid w:val="00755A1E"/>
    <w:rsid w:val="00755B63"/>
    <w:rsid w:val="00755D2A"/>
    <w:rsid w:val="007564C5"/>
    <w:rsid w:val="00756850"/>
    <w:rsid w:val="00756885"/>
    <w:rsid w:val="00757006"/>
    <w:rsid w:val="007572AB"/>
    <w:rsid w:val="00757B60"/>
    <w:rsid w:val="00757CEA"/>
    <w:rsid w:val="00760930"/>
    <w:rsid w:val="00760A63"/>
    <w:rsid w:val="00760AD7"/>
    <w:rsid w:val="00760D48"/>
    <w:rsid w:val="00760DA9"/>
    <w:rsid w:val="007613D6"/>
    <w:rsid w:val="007616DA"/>
    <w:rsid w:val="00761BC5"/>
    <w:rsid w:val="00762541"/>
    <w:rsid w:val="0076269C"/>
    <w:rsid w:val="007628C3"/>
    <w:rsid w:val="007629C8"/>
    <w:rsid w:val="00762F18"/>
    <w:rsid w:val="00763194"/>
    <w:rsid w:val="00763561"/>
    <w:rsid w:val="00763C12"/>
    <w:rsid w:val="00763DDA"/>
    <w:rsid w:val="00764335"/>
    <w:rsid w:val="00764849"/>
    <w:rsid w:val="007648F7"/>
    <w:rsid w:val="00764B5B"/>
    <w:rsid w:val="00764F20"/>
    <w:rsid w:val="00765CA8"/>
    <w:rsid w:val="00765FC8"/>
    <w:rsid w:val="007665EB"/>
    <w:rsid w:val="007670FA"/>
    <w:rsid w:val="007679D1"/>
    <w:rsid w:val="00770096"/>
    <w:rsid w:val="007710BF"/>
    <w:rsid w:val="007721B8"/>
    <w:rsid w:val="00772440"/>
    <w:rsid w:val="007729CF"/>
    <w:rsid w:val="00772E7B"/>
    <w:rsid w:val="00773695"/>
    <w:rsid w:val="00773815"/>
    <w:rsid w:val="00773FAE"/>
    <w:rsid w:val="0077440A"/>
    <w:rsid w:val="00774517"/>
    <w:rsid w:val="00776249"/>
    <w:rsid w:val="0077653B"/>
    <w:rsid w:val="007766A7"/>
    <w:rsid w:val="00776829"/>
    <w:rsid w:val="00776986"/>
    <w:rsid w:val="00776AC5"/>
    <w:rsid w:val="00776B35"/>
    <w:rsid w:val="00777A63"/>
    <w:rsid w:val="00777DE2"/>
    <w:rsid w:val="00777FF0"/>
    <w:rsid w:val="0078002C"/>
    <w:rsid w:val="00780164"/>
    <w:rsid w:val="007803F5"/>
    <w:rsid w:val="007804AC"/>
    <w:rsid w:val="00780F2E"/>
    <w:rsid w:val="0078142D"/>
    <w:rsid w:val="00782D9E"/>
    <w:rsid w:val="007834EF"/>
    <w:rsid w:val="0078358B"/>
    <w:rsid w:val="00783941"/>
    <w:rsid w:val="00783A77"/>
    <w:rsid w:val="0078401A"/>
    <w:rsid w:val="00784227"/>
    <w:rsid w:val="007844F7"/>
    <w:rsid w:val="0078456D"/>
    <w:rsid w:val="0078498C"/>
    <w:rsid w:val="00784D0C"/>
    <w:rsid w:val="00785143"/>
    <w:rsid w:val="00785255"/>
    <w:rsid w:val="00785502"/>
    <w:rsid w:val="00785D88"/>
    <w:rsid w:val="007867CA"/>
    <w:rsid w:val="00786E04"/>
    <w:rsid w:val="00786FBB"/>
    <w:rsid w:val="00787119"/>
    <w:rsid w:val="007874B7"/>
    <w:rsid w:val="007878E0"/>
    <w:rsid w:val="00787B9A"/>
    <w:rsid w:val="00787D2A"/>
    <w:rsid w:val="00787DC6"/>
    <w:rsid w:val="00787F85"/>
    <w:rsid w:val="00790324"/>
    <w:rsid w:val="007904B4"/>
    <w:rsid w:val="0079147C"/>
    <w:rsid w:val="00791771"/>
    <w:rsid w:val="00791F67"/>
    <w:rsid w:val="00791F69"/>
    <w:rsid w:val="0079210C"/>
    <w:rsid w:val="0079238F"/>
    <w:rsid w:val="00792703"/>
    <w:rsid w:val="00792D32"/>
    <w:rsid w:val="007931C3"/>
    <w:rsid w:val="00793435"/>
    <w:rsid w:val="00793909"/>
    <w:rsid w:val="00793A20"/>
    <w:rsid w:val="007948BD"/>
    <w:rsid w:val="00795976"/>
    <w:rsid w:val="00796CEE"/>
    <w:rsid w:val="00797003"/>
    <w:rsid w:val="007979FB"/>
    <w:rsid w:val="007A00DE"/>
    <w:rsid w:val="007A04D7"/>
    <w:rsid w:val="007A1028"/>
    <w:rsid w:val="007A1552"/>
    <w:rsid w:val="007A2005"/>
    <w:rsid w:val="007A2182"/>
    <w:rsid w:val="007A2B66"/>
    <w:rsid w:val="007A2EA7"/>
    <w:rsid w:val="007A30EA"/>
    <w:rsid w:val="007A33F0"/>
    <w:rsid w:val="007A4285"/>
    <w:rsid w:val="007A4441"/>
    <w:rsid w:val="007A4443"/>
    <w:rsid w:val="007A47EE"/>
    <w:rsid w:val="007A4ACD"/>
    <w:rsid w:val="007A568A"/>
    <w:rsid w:val="007A5A68"/>
    <w:rsid w:val="007A64B6"/>
    <w:rsid w:val="007A69A5"/>
    <w:rsid w:val="007A6BD5"/>
    <w:rsid w:val="007A7286"/>
    <w:rsid w:val="007A7906"/>
    <w:rsid w:val="007A79B1"/>
    <w:rsid w:val="007B0208"/>
    <w:rsid w:val="007B0BD4"/>
    <w:rsid w:val="007B0C7A"/>
    <w:rsid w:val="007B12AC"/>
    <w:rsid w:val="007B13A7"/>
    <w:rsid w:val="007B1690"/>
    <w:rsid w:val="007B1BD1"/>
    <w:rsid w:val="007B1CB5"/>
    <w:rsid w:val="007B25C4"/>
    <w:rsid w:val="007B369E"/>
    <w:rsid w:val="007B3F97"/>
    <w:rsid w:val="007B403F"/>
    <w:rsid w:val="007B522A"/>
    <w:rsid w:val="007B5DB5"/>
    <w:rsid w:val="007B688F"/>
    <w:rsid w:val="007B6BDD"/>
    <w:rsid w:val="007B758E"/>
    <w:rsid w:val="007B7800"/>
    <w:rsid w:val="007B7ED7"/>
    <w:rsid w:val="007C0849"/>
    <w:rsid w:val="007C097A"/>
    <w:rsid w:val="007C0ABD"/>
    <w:rsid w:val="007C10F0"/>
    <w:rsid w:val="007C11D3"/>
    <w:rsid w:val="007C1D8C"/>
    <w:rsid w:val="007C3503"/>
    <w:rsid w:val="007C3EF4"/>
    <w:rsid w:val="007C4A43"/>
    <w:rsid w:val="007C4D5F"/>
    <w:rsid w:val="007C50B8"/>
    <w:rsid w:val="007C5E02"/>
    <w:rsid w:val="007C68D2"/>
    <w:rsid w:val="007C71C6"/>
    <w:rsid w:val="007C7586"/>
    <w:rsid w:val="007C76DC"/>
    <w:rsid w:val="007C7ABE"/>
    <w:rsid w:val="007C7B25"/>
    <w:rsid w:val="007C7B2D"/>
    <w:rsid w:val="007C7D85"/>
    <w:rsid w:val="007D0513"/>
    <w:rsid w:val="007D0600"/>
    <w:rsid w:val="007D0C0F"/>
    <w:rsid w:val="007D13DD"/>
    <w:rsid w:val="007D1D20"/>
    <w:rsid w:val="007D2593"/>
    <w:rsid w:val="007D28C7"/>
    <w:rsid w:val="007D2947"/>
    <w:rsid w:val="007D33C5"/>
    <w:rsid w:val="007D42C3"/>
    <w:rsid w:val="007D5085"/>
    <w:rsid w:val="007D55C4"/>
    <w:rsid w:val="007D58D9"/>
    <w:rsid w:val="007D5E8F"/>
    <w:rsid w:val="007D6113"/>
    <w:rsid w:val="007D6401"/>
    <w:rsid w:val="007D6B72"/>
    <w:rsid w:val="007D6D2B"/>
    <w:rsid w:val="007D6D4E"/>
    <w:rsid w:val="007D6D7F"/>
    <w:rsid w:val="007D72A7"/>
    <w:rsid w:val="007D72BB"/>
    <w:rsid w:val="007D79CC"/>
    <w:rsid w:val="007D7D3E"/>
    <w:rsid w:val="007E01C8"/>
    <w:rsid w:val="007E040C"/>
    <w:rsid w:val="007E1121"/>
    <w:rsid w:val="007E2C79"/>
    <w:rsid w:val="007E2E23"/>
    <w:rsid w:val="007E2F12"/>
    <w:rsid w:val="007E34F0"/>
    <w:rsid w:val="007E3FFE"/>
    <w:rsid w:val="007E466E"/>
    <w:rsid w:val="007E4AFA"/>
    <w:rsid w:val="007E4C27"/>
    <w:rsid w:val="007E6840"/>
    <w:rsid w:val="007E7D26"/>
    <w:rsid w:val="007F02F1"/>
    <w:rsid w:val="007F06C8"/>
    <w:rsid w:val="007F06E2"/>
    <w:rsid w:val="007F0B35"/>
    <w:rsid w:val="007F0BFA"/>
    <w:rsid w:val="007F161B"/>
    <w:rsid w:val="007F18DD"/>
    <w:rsid w:val="007F1FF3"/>
    <w:rsid w:val="007F22CD"/>
    <w:rsid w:val="007F245F"/>
    <w:rsid w:val="007F24AE"/>
    <w:rsid w:val="007F2AED"/>
    <w:rsid w:val="007F2F8D"/>
    <w:rsid w:val="007F3297"/>
    <w:rsid w:val="007F3E74"/>
    <w:rsid w:val="007F3EB1"/>
    <w:rsid w:val="007F4BA2"/>
    <w:rsid w:val="007F51AE"/>
    <w:rsid w:val="007F5795"/>
    <w:rsid w:val="007F586C"/>
    <w:rsid w:val="007F58AF"/>
    <w:rsid w:val="007F5A3A"/>
    <w:rsid w:val="007F5EC0"/>
    <w:rsid w:val="007F6145"/>
    <w:rsid w:val="007F6539"/>
    <w:rsid w:val="007F6587"/>
    <w:rsid w:val="007F65B4"/>
    <w:rsid w:val="007F6967"/>
    <w:rsid w:val="007F7356"/>
    <w:rsid w:val="007F7A61"/>
    <w:rsid w:val="007F7BA8"/>
    <w:rsid w:val="00800DFC"/>
    <w:rsid w:val="008015E1"/>
    <w:rsid w:val="0080202C"/>
    <w:rsid w:val="00802168"/>
    <w:rsid w:val="008035DE"/>
    <w:rsid w:val="00803E3C"/>
    <w:rsid w:val="00803E99"/>
    <w:rsid w:val="00804000"/>
    <w:rsid w:val="0080404D"/>
    <w:rsid w:val="00804C77"/>
    <w:rsid w:val="00805505"/>
    <w:rsid w:val="0080579E"/>
    <w:rsid w:val="008057B5"/>
    <w:rsid w:val="00805D95"/>
    <w:rsid w:val="00806161"/>
    <w:rsid w:val="00807925"/>
    <w:rsid w:val="00807991"/>
    <w:rsid w:val="00807C73"/>
    <w:rsid w:val="00807EF6"/>
    <w:rsid w:val="0081083D"/>
    <w:rsid w:val="0081097D"/>
    <w:rsid w:val="00810ECD"/>
    <w:rsid w:val="00811290"/>
    <w:rsid w:val="008126E6"/>
    <w:rsid w:val="00812A3F"/>
    <w:rsid w:val="00812F89"/>
    <w:rsid w:val="00813409"/>
    <w:rsid w:val="00813FF1"/>
    <w:rsid w:val="00814509"/>
    <w:rsid w:val="00814A03"/>
    <w:rsid w:val="00814FAD"/>
    <w:rsid w:val="00815100"/>
    <w:rsid w:val="008154AB"/>
    <w:rsid w:val="00816F7C"/>
    <w:rsid w:val="00817525"/>
    <w:rsid w:val="0081755C"/>
    <w:rsid w:val="00817F5F"/>
    <w:rsid w:val="0082017A"/>
    <w:rsid w:val="008214D4"/>
    <w:rsid w:val="00821CAA"/>
    <w:rsid w:val="00822409"/>
    <w:rsid w:val="0082270B"/>
    <w:rsid w:val="00822D20"/>
    <w:rsid w:val="00823A79"/>
    <w:rsid w:val="0082426F"/>
    <w:rsid w:val="0082526D"/>
    <w:rsid w:val="008253A8"/>
    <w:rsid w:val="00825C18"/>
    <w:rsid w:val="00825EF5"/>
    <w:rsid w:val="008264B2"/>
    <w:rsid w:val="008301D7"/>
    <w:rsid w:val="0083040F"/>
    <w:rsid w:val="00831305"/>
    <w:rsid w:val="00831CE3"/>
    <w:rsid w:val="00831E9F"/>
    <w:rsid w:val="00832776"/>
    <w:rsid w:val="00832B3A"/>
    <w:rsid w:val="00832C90"/>
    <w:rsid w:val="008333CE"/>
    <w:rsid w:val="0083477A"/>
    <w:rsid w:val="0083486F"/>
    <w:rsid w:val="00834E3F"/>
    <w:rsid w:val="0083527F"/>
    <w:rsid w:val="008355FF"/>
    <w:rsid w:val="00836177"/>
    <w:rsid w:val="0083683E"/>
    <w:rsid w:val="00836F0E"/>
    <w:rsid w:val="00837013"/>
    <w:rsid w:val="008370A9"/>
    <w:rsid w:val="00837635"/>
    <w:rsid w:val="00837D84"/>
    <w:rsid w:val="0084103E"/>
    <w:rsid w:val="00842356"/>
    <w:rsid w:val="008425A5"/>
    <w:rsid w:val="008426C2"/>
    <w:rsid w:val="00842830"/>
    <w:rsid w:val="00842976"/>
    <w:rsid w:val="00842D13"/>
    <w:rsid w:val="008437CE"/>
    <w:rsid w:val="008449A4"/>
    <w:rsid w:val="00844A88"/>
    <w:rsid w:val="00844D35"/>
    <w:rsid w:val="00845306"/>
    <w:rsid w:val="0084550B"/>
    <w:rsid w:val="00845783"/>
    <w:rsid w:val="008458A3"/>
    <w:rsid w:val="00845929"/>
    <w:rsid w:val="00845F03"/>
    <w:rsid w:val="00846D0C"/>
    <w:rsid w:val="00846FBC"/>
    <w:rsid w:val="0084782B"/>
    <w:rsid w:val="00847855"/>
    <w:rsid w:val="008509DD"/>
    <w:rsid w:val="00850BE1"/>
    <w:rsid w:val="0085143F"/>
    <w:rsid w:val="00851705"/>
    <w:rsid w:val="00852134"/>
    <w:rsid w:val="00852506"/>
    <w:rsid w:val="0085279F"/>
    <w:rsid w:val="00852E4D"/>
    <w:rsid w:val="008535E7"/>
    <w:rsid w:val="008537EA"/>
    <w:rsid w:val="008538A9"/>
    <w:rsid w:val="00853CF4"/>
    <w:rsid w:val="00853F67"/>
    <w:rsid w:val="00855F7C"/>
    <w:rsid w:val="008562F9"/>
    <w:rsid w:val="008562FA"/>
    <w:rsid w:val="00856ACC"/>
    <w:rsid w:val="00857642"/>
    <w:rsid w:val="008576B8"/>
    <w:rsid w:val="00857CA1"/>
    <w:rsid w:val="00862851"/>
    <w:rsid w:val="00862FE0"/>
    <w:rsid w:val="00863494"/>
    <w:rsid w:val="00864D76"/>
    <w:rsid w:val="008652CC"/>
    <w:rsid w:val="0086533B"/>
    <w:rsid w:val="00865797"/>
    <w:rsid w:val="00865BDD"/>
    <w:rsid w:val="00865DB8"/>
    <w:rsid w:val="00866770"/>
    <w:rsid w:val="0086703D"/>
    <w:rsid w:val="0087026D"/>
    <w:rsid w:val="008704B2"/>
    <w:rsid w:val="00870910"/>
    <w:rsid w:val="00870B32"/>
    <w:rsid w:val="008710A0"/>
    <w:rsid w:val="0087114A"/>
    <w:rsid w:val="00871336"/>
    <w:rsid w:val="0087136A"/>
    <w:rsid w:val="00871697"/>
    <w:rsid w:val="00871AC5"/>
    <w:rsid w:val="00871FDE"/>
    <w:rsid w:val="00872440"/>
    <w:rsid w:val="00872F5E"/>
    <w:rsid w:val="008735BC"/>
    <w:rsid w:val="00873737"/>
    <w:rsid w:val="00873CF8"/>
    <w:rsid w:val="00874508"/>
    <w:rsid w:val="00875047"/>
    <w:rsid w:val="008756ED"/>
    <w:rsid w:val="00875804"/>
    <w:rsid w:val="00875982"/>
    <w:rsid w:val="00875E2B"/>
    <w:rsid w:val="0087670A"/>
    <w:rsid w:val="00876DBB"/>
    <w:rsid w:val="00877FB5"/>
    <w:rsid w:val="00880146"/>
    <w:rsid w:val="008804D9"/>
    <w:rsid w:val="0088130D"/>
    <w:rsid w:val="00881991"/>
    <w:rsid w:val="00881DE0"/>
    <w:rsid w:val="00882198"/>
    <w:rsid w:val="008822F9"/>
    <w:rsid w:val="008832E2"/>
    <w:rsid w:val="00883684"/>
    <w:rsid w:val="0088371D"/>
    <w:rsid w:val="00883854"/>
    <w:rsid w:val="008839DA"/>
    <w:rsid w:val="00883CDF"/>
    <w:rsid w:val="008840AC"/>
    <w:rsid w:val="0088420E"/>
    <w:rsid w:val="008844C8"/>
    <w:rsid w:val="0088519E"/>
    <w:rsid w:val="00885370"/>
    <w:rsid w:val="008855E6"/>
    <w:rsid w:val="008859EF"/>
    <w:rsid w:val="00885E6F"/>
    <w:rsid w:val="0088665C"/>
    <w:rsid w:val="00886F61"/>
    <w:rsid w:val="0088781F"/>
    <w:rsid w:val="00887920"/>
    <w:rsid w:val="00887A02"/>
    <w:rsid w:val="00890709"/>
    <w:rsid w:val="0089124F"/>
    <w:rsid w:val="00891737"/>
    <w:rsid w:val="00891828"/>
    <w:rsid w:val="0089194E"/>
    <w:rsid w:val="00892AB7"/>
    <w:rsid w:val="0089309E"/>
    <w:rsid w:val="0089320A"/>
    <w:rsid w:val="00893F87"/>
    <w:rsid w:val="00894153"/>
    <w:rsid w:val="00894167"/>
    <w:rsid w:val="00894452"/>
    <w:rsid w:val="00894486"/>
    <w:rsid w:val="008950BB"/>
    <w:rsid w:val="008963D3"/>
    <w:rsid w:val="008964AC"/>
    <w:rsid w:val="0089654D"/>
    <w:rsid w:val="00896FDD"/>
    <w:rsid w:val="0089773F"/>
    <w:rsid w:val="008A0BCA"/>
    <w:rsid w:val="008A1AFA"/>
    <w:rsid w:val="008A1DB6"/>
    <w:rsid w:val="008A22E0"/>
    <w:rsid w:val="008A30B0"/>
    <w:rsid w:val="008A33C5"/>
    <w:rsid w:val="008A3BBF"/>
    <w:rsid w:val="008A3DCD"/>
    <w:rsid w:val="008A3F06"/>
    <w:rsid w:val="008A4A0B"/>
    <w:rsid w:val="008A5CF9"/>
    <w:rsid w:val="008A5E43"/>
    <w:rsid w:val="008A6335"/>
    <w:rsid w:val="008A6BA9"/>
    <w:rsid w:val="008A6ED3"/>
    <w:rsid w:val="008A73F9"/>
    <w:rsid w:val="008A7842"/>
    <w:rsid w:val="008A7F95"/>
    <w:rsid w:val="008B0941"/>
    <w:rsid w:val="008B1219"/>
    <w:rsid w:val="008B1C20"/>
    <w:rsid w:val="008B1DD2"/>
    <w:rsid w:val="008B1DF4"/>
    <w:rsid w:val="008B2A4F"/>
    <w:rsid w:val="008B2A93"/>
    <w:rsid w:val="008B344A"/>
    <w:rsid w:val="008B3562"/>
    <w:rsid w:val="008B3776"/>
    <w:rsid w:val="008B3EEE"/>
    <w:rsid w:val="008B4AB1"/>
    <w:rsid w:val="008B4E76"/>
    <w:rsid w:val="008B54C2"/>
    <w:rsid w:val="008B586A"/>
    <w:rsid w:val="008B5914"/>
    <w:rsid w:val="008B5A44"/>
    <w:rsid w:val="008B635F"/>
    <w:rsid w:val="008B6946"/>
    <w:rsid w:val="008B7110"/>
    <w:rsid w:val="008B79AA"/>
    <w:rsid w:val="008B7ABB"/>
    <w:rsid w:val="008B7B09"/>
    <w:rsid w:val="008C0C9C"/>
    <w:rsid w:val="008C0E66"/>
    <w:rsid w:val="008C1036"/>
    <w:rsid w:val="008C10A7"/>
    <w:rsid w:val="008C142F"/>
    <w:rsid w:val="008C15A7"/>
    <w:rsid w:val="008C1BD7"/>
    <w:rsid w:val="008C1D13"/>
    <w:rsid w:val="008C1E27"/>
    <w:rsid w:val="008C236E"/>
    <w:rsid w:val="008C29E3"/>
    <w:rsid w:val="008C2BD2"/>
    <w:rsid w:val="008C3718"/>
    <w:rsid w:val="008C3AB5"/>
    <w:rsid w:val="008C3B51"/>
    <w:rsid w:val="008C4478"/>
    <w:rsid w:val="008C45B8"/>
    <w:rsid w:val="008C4D8A"/>
    <w:rsid w:val="008C5DD0"/>
    <w:rsid w:val="008C5FC9"/>
    <w:rsid w:val="008C5FCD"/>
    <w:rsid w:val="008C6B6D"/>
    <w:rsid w:val="008C6F98"/>
    <w:rsid w:val="008C71F8"/>
    <w:rsid w:val="008C78CE"/>
    <w:rsid w:val="008D0B69"/>
    <w:rsid w:val="008D1E05"/>
    <w:rsid w:val="008D20BB"/>
    <w:rsid w:val="008D2230"/>
    <w:rsid w:val="008D23E9"/>
    <w:rsid w:val="008D27EF"/>
    <w:rsid w:val="008D2CB5"/>
    <w:rsid w:val="008D2E7D"/>
    <w:rsid w:val="008D3185"/>
    <w:rsid w:val="008D4000"/>
    <w:rsid w:val="008D4032"/>
    <w:rsid w:val="008D4741"/>
    <w:rsid w:val="008D4A45"/>
    <w:rsid w:val="008D4AB2"/>
    <w:rsid w:val="008D54D8"/>
    <w:rsid w:val="008D55FB"/>
    <w:rsid w:val="008D5DFC"/>
    <w:rsid w:val="008D5E33"/>
    <w:rsid w:val="008D5FD8"/>
    <w:rsid w:val="008D60A4"/>
    <w:rsid w:val="008D71F5"/>
    <w:rsid w:val="008D7C7F"/>
    <w:rsid w:val="008D7E67"/>
    <w:rsid w:val="008E0BAE"/>
    <w:rsid w:val="008E14E4"/>
    <w:rsid w:val="008E159C"/>
    <w:rsid w:val="008E176C"/>
    <w:rsid w:val="008E1BAF"/>
    <w:rsid w:val="008E1E25"/>
    <w:rsid w:val="008E22B8"/>
    <w:rsid w:val="008E2680"/>
    <w:rsid w:val="008E3E70"/>
    <w:rsid w:val="008E4102"/>
    <w:rsid w:val="008E4688"/>
    <w:rsid w:val="008E46CE"/>
    <w:rsid w:val="008E4ABB"/>
    <w:rsid w:val="008E4F9F"/>
    <w:rsid w:val="008E4FED"/>
    <w:rsid w:val="008E5E0E"/>
    <w:rsid w:val="008E64BD"/>
    <w:rsid w:val="008E69CF"/>
    <w:rsid w:val="008E6A85"/>
    <w:rsid w:val="008E6CD5"/>
    <w:rsid w:val="008E6D6F"/>
    <w:rsid w:val="008E7149"/>
    <w:rsid w:val="008F0BE3"/>
    <w:rsid w:val="008F21F4"/>
    <w:rsid w:val="008F291B"/>
    <w:rsid w:val="008F2D6F"/>
    <w:rsid w:val="008F3054"/>
    <w:rsid w:val="008F34BD"/>
    <w:rsid w:val="008F35E3"/>
    <w:rsid w:val="008F3731"/>
    <w:rsid w:val="008F3744"/>
    <w:rsid w:val="008F3A7C"/>
    <w:rsid w:val="008F4587"/>
    <w:rsid w:val="008F4D70"/>
    <w:rsid w:val="008F5120"/>
    <w:rsid w:val="008F53E9"/>
    <w:rsid w:val="008F5708"/>
    <w:rsid w:val="008F6329"/>
    <w:rsid w:val="008F727E"/>
    <w:rsid w:val="008F7500"/>
    <w:rsid w:val="008F7710"/>
    <w:rsid w:val="008F7730"/>
    <w:rsid w:val="008F7A75"/>
    <w:rsid w:val="00900F4B"/>
    <w:rsid w:val="00901013"/>
    <w:rsid w:val="00901D9C"/>
    <w:rsid w:val="00901FDE"/>
    <w:rsid w:val="00902382"/>
    <w:rsid w:val="0090381C"/>
    <w:rsid w:val="0090395B"/>
    <w:rsid w:val="009044F8"/>
    <w:rsid w:val="00904C40"/>
    <w:rsid w:val="00905398"/>
    <w:rsid w:val="009054A4"/>
    <w:rsid w:val="009057CA"/>
    <w:rsid w:val="00905A91"/>
    <w:rsid w:val="00905CB4"/>
    <w:rsid w:val="009067BC"/>
    <w:rsid w:val="0090732C"/>
    <w:rsid w:val="00910090"/>
    <w:rsid w:val="009108D9"/>
    <w:rsid w:val="00910F20"/>
    <w:rsid w:val="00911084"/>
    <w:rsid w:val="00911318"/>
    <w:rsid w:val="009114B8"/>
    <w:rsid w:val="00911541"/>
    <w:rsid w:val="00911C03"/>
    <w:rsid w:val="00911C44"/>
    <w:rsid w:val="00911C9F"/>
    <w:rsid w:val="00912043"/>
    <w:rsid w:val="009126B5"/>
    <w:rsid w:val="009127AF"/>
    <w:rsid w:val="00912AD0"/>
    <w:rsid w:val="00912BD3"/>
    <w:rsid w:val="00915042"/>
    <w:rsid w:val="00915682"/>
    <w:rsid w:val="0091573D"/>
    <w:rsid w:val="00915FB3"/>
    <w:rsid w:val="00916F95"/>
    <w:rsid w:val="009178D2"/>
    <w:rsid w:val="00917E92"/>
    <w:rsid w:val="009201BB"/>
    <w:rsid w:val="009207C3"/>
    <w:rsid w:val="00921233"/>
    <w:rsid w:val="00922735"/>
    <w:rsid w:val="00923428"/>
    <w:rsid w:val="00923723"/>
    <w:rsid w:val="009239F5"/>
    <w:rsid w:val="00923ED5"/>
    <w:rsid w:val="009248E6"/>
    <w:rsid w:val="009250C5"/>
    <w:rsid w:val="00925F10"/>
    <w:rsid w:val="009263A9"/>
    <w:rsid w:val="009269D3"/>
    <w:rsid w:val="00926A25"/>
    <w:rsid w:val="00926E69"/>
    <w:rsid w:val="0092795C"/>
    <w:rsid w:val="00927A94"/>
    <w:rsid w:val="00927C3E"/>
    <w:rsid w:val="009301B0"/>
    <w:rsid w:val="00930A86"/>
    <w:rsid w:val="00930A93"/>
    <w:rsid w:val="00930D10"/>
    <w:rsid w:val="0093153C"/>
    <w:rsid w:val="0093184B"/>
    <w:rsid w:val="00931BFB"/>
    <w:rsid w:val="00931E57"/>
    <w:rsid w:val="009326BC"/>
    <w:rsid w:val="009327EA"/>
    <w:rsid w:val="00932D4E"/>
    <w:rsid w:val="00932F96"/>
    <w:rsid w:val="00933516"/>
    <w:rsid w:val="00933B51"/>
    <w:rsid w:val="0093405B"/>
    <w:rsid w:val="00934096"/>
    <w:rsid w:val="0093475E"/>
    <w:rsid w:val="00935A4B"/>
    <w:rsid w:val="00935DE5"/>
    <w:rsid w:val="00936A81"/>
    <w:rsid w:val="00937029"/>
    <w:rsid w:val="009371BA"/>
    <w:rsid w:val="00937656"/>
    <w:rsid w:val="00937D51"/>
    <w:rsid w:val="0094005C"/>
    <w:rsid w:val="00940300"/>
    <w:rsid w:val="00940386"/>
    <w:rsid w:val="0094071D"/>
    <w:rsid w:val="009407DE"/>
    <w:rsid w:val="00941839"/>
    <w:rsid w:val="00942052"/>
    <w:rsid w:val="009423C9"/>
    <w:rsid w:val="00942FD6"/>
    <w:rsid w:val="009431D7"/>
    <w:rsid w:val="009433EF"/>
    <w:rsid w:val="00943A15"/>
    <w:rsid w:val="00943ADB"/>
    <w:rsid w:val="00943C83"/>
    <w:rsid w:val="00943D2E"/>
    <w:rsid w:val="0094430E"/>
    <w:rsid w:val="00944CA8"/>
    <w:rsid w:val="0094582F"/>
    <w:rsid w:val="0094589F"/>
    <w:rsid w:val="00945FE4"/>
    <w:rsid w:val="00946746"/>
    <w:rsid w:val="009476A6"/>
    <w:rsid w:val="00950658"/>
    <w:rsid w:val="009510D3"/>
    <w:rsid w:val="0095120A"/>
    <w:rsid w:val="009517D7"/>
    <w:rsid w:val="009518D0"/>
    <w:rsid w:val="009519CB"/>
    <w:rsid w:val="00951BD7"/>
    <w:rsid w:val="009523B7"/>
    <w:rsid w:val="009525DD"/>
    <w:rsid w:val="00952866"/>
    <w:rsid w:val="00952B4C"/>
    <w:rsid w:val="00952CAB"/>
    <w:rsid w:val="009530BA"/>
    <w:rsid w:val="00953831"/>
    <w:rsid w:val="00953DD0"/>
    <w:rsid w:val="00953FD2"/>
    <w:rsid w:val="00954424"/>
    <w:rsid w:val="00955630"/>
    <w:rsid w:val="00955A94"/>
    <w:rsid w:val="00955C52"/>
    <w:rsid w:val="009561C7"/>
    <w:rsid w:val="0095632B"/>
    <w:rsid w:val="00956D9C"/>
    <w:rsid w:val="00956FA6"/>
    <w:rsid w:val="00957398"/>
    <w:rsid w:val="00957879"/>
    <w:rsid w:val="009603D3"/>
    <w:rsid w:val="009603E3"/>
    <w:rsid w:val="009604C0"/>
    <w:rsid w:val="00960687"/>
    <w:rsid w:val="00960787"/>
    <w:rsid w:val="009621F0"/>
    <w:rsid w:val="00962859"/>
    <w:rsid w:val="009655E8"/>
    <w:rsid w:val="009656C1"/>
    <w:rsid w:val="0096571F"/>
    <w:rsid w:val="00965D5A"/>
    <w:rsid w:val="00965DEE"/>
    <w:rsid w:val="00966256"/>
    <w:rsid w:val="00966674"/>
    <w:rsid w:val="009670CD"/>
    <w:rsid w:val="00967B72"/>
    <w:rsid w:val="0097002D"/>
    <w:rsid w:val="009700A8"/>
    <w:rsid w:val="00970203"/>
    <w:rsid w:val="00970599"/>
    <w:rsid w:val="00970655"/>
    <w:rsid w:val="009706FA"/>
    <w:rsid w:val="00970AAD"/>
    <w:rsid w:val="00970FCB"/>
    <w:rsid w:val="0097205B"/>
    <w:rsid w:val="009720E0"/>
    <w:rsid w:val="009727DF"/>
    <w:rsid w:val="00973304"/>
    <w:rsid w:val="00973AEC"/>
    <w:rsid w:val="00973DD0"/>
    <w:rsid w:val="00976398"/>
    <w:rsid w:val="00976E39"/>
    <w:rsid w:val="009775DC"/>
    <w:rsid w:val="00977AEA"/>
    <w:rsid w:val="009808DE"/>
    <w:rsid w:val="00981447"/>
    <w:rsid w:val="0098158D"/>
    <w:rsid w:val="00981878"/>
    <w:rsid w:val="00981B20"/>
    <w:rsid w:val="00982494"/>
    <w:rsid w:val="00982596"/>
    <w:rsid w:val="0098322E"/>
    <w:rsid w:val="009833AE"/>
    <w:rsid w:val="0098353F"/>
    <w:rsid w:val="00984351"/>
    <w:rsid w:val="009844E5"/>
    <w:rsid w:val="0098456B"/>
    <w:rsid w:val="00985772"/>
    <w:rsid w:val="00985936"/>
    <w:rsid w:val="00985AA1"/>
    <w:rsid w:val="00986183"/>
    <w:rsid w:val="00986322"/>
    <w:rsid w:val="0098644A"/>
    <w:rsid w:val="009864E1"/>
    <w:rsid w:val="0098683C"/>
    <w:rsid w:val="00987DEE"/>
    <w:rsid w:val="00987E65"/>
    <w:rsid w:val="009900A5"/>
    <w:rsid w:val="00990AF2"/>
    <w:rsid w:val="009913B2"/>
    <w:rsid w:val="00991497"/>
    <w:rsid w:val="00991498"/>
    <w:rsid w:val="0099191A"/>
    <w:rsid w:val="00991FE2"/>
    <w:rsid w:val="00993A21"/>
    <w:rsid w:val="00993F24"/>
    <w:rsid w:val="0099428E"/>
    <w:rsid w:val="00994373"/>
    <w:rsid w:val="009944BD"/>
    <w:rsid w:val="00994874"/>
    <w:rsid w:val="00995089"/>
    <w:rsid w:val="009951FB"/>
    <w:rsid w:val="00995601"/>
    <w:rsid w:val="00995A8A"/>
    <w:rsid w:val="00996091"/>
    <w:rsid w:val="00997A73"/>
    <w:rsid w:val="00997A86"/>
    <w:rsid w:val="009A058F"/>
    <w:rsid w:val="009A0662"/>
    <w:rsid w:val="009A134E"/>
    <w:rsid w:val="009A16BE"/>
    <w:rsid w:val="009A1AF2"/>
    <w:rsid w:val="009A1C7B"/>
    <w:rsid w:val="009A1EE7"/>
    <w:rsid w:val="009A1EF8"/>
    <w:rsid w:val="009A2181"/>
    <w:rsid w:val="009A24F1"/>
    <w:rsid w:val="009A2873"/>
    <w:rsid w:val="009A2C35"/>
    <w:rsid w:val="009A30E8"/>
    <w:rsid w:val="009A3B18"/>
    <w:rsid w:val="009A3E6B"/>
    <w:rsid w:val="009A3F81"/>
    <w:rsid w:val="009A4BEA"/>
    <w:rsid w:val="009A4C33"/>
    <w:rsid w:val="009A4D0A"/>
    <w:rsid w:val="009A52CD"/>
    <w:rsid w:val="009A5E75"/>
    <w:rsid w:val="009A63D4"/>
    <w:rsid w:val="009A72AE"/>
    <w:rsid w:val="009A7CDF"/>
    <w:rsid w:val="009B0476"/>
    <w:rsid w:val="009B101E"/>
    <w:rsid w:val="009B134C"/>
    <w:rsid w:val="009B144F"/>
    <w:rsid w:val="009B3B72"/>
    <w:rsid w:val="009B4AAC"/>
    <w:rsid w:val="009B4B72"/>
    <w:rsid w:val="009B4DEA"/>
    <w:rsid w:val="009B5412"/>
    <w:rsid w:val="009B57FB"/>
    <w:rsid w:val="009B59D9"/>
    <w:rsid w:val="009B5E5D"/>
    <w:rsid w:val="009B64D4"/>
    <w:rsid w:val="009B72C4"/>
    <w:rsid w:val="009B7EBE"/>
    <w:rsid w:val="009B7F6A"/>
    <w:rsid w:val="009B7FA7"/>
    <w:rsid w:val="009C0046"/>
    <w:rsid w:val="009C0279"/>
    <w:rsid w:val="009C08D5"/>
    <w:rsid w:val="009C0F77"/>
    <w:rsid w:val="009C2970"/>
    <w:rsid w:val="009C2F51"/>
    <w:rsid w:val="009C31EC"/>
    <w:rsid w:val="009C34B8"/>
    <w:rsid w:val="009C3693"/>
    <w:rsid w:val="009C37F0"/>
    <w:rsid w:val="009C3E2E"/>
    <w:rsid w:val="009C3E35"/>
    <w:rsid w:val="009C4166"/>
    <w:rsid w:val="009C4F85"/>
    <w:rsid w:val="009C5201"/>
    <w:rsid w:val="009C5370"/>
    <w:rsid w:val="009C5C46"/>
    <w:rsid w:val="009C5D73"/>
    <w:rsid w:val="009C5DF9"/>
    <w:rsid w:val="009C640B"/>
    <w:rsid w:val="009C76B4"/>
    <w:rsid w:val="009C7AD7"/>
    <w:rsid w:val="009C7D56"/>
    <w:rsid w:val="009D011E"/>
    <w:rsid w:val="009D06BC"/>
    <w:rsid w:val="009D0BFF"/>
    <w:rsid w:val="009D0E5B"/>
    <w:rsid w:val="009D0EDF"/>
    <w:rsid w:val="009D102A"/>
    <w:rsid w:val="009D142F"/>
    <w:rsid w:val="009D15CB"/>
    <w:rsid w:val="009D174D"/>
    <w:rsid w:val="009D23BF"/>
    <w:rsid w:val="009D2914"/>
    <w:rsid w:val="009D3986"/>
    <w:rsid w:val="009D54D0"/>
    <w:rsid w:val="009D5806"/>
    <w:rsid w:val="009D64F8"/>
    <w:rsid w:val="009D685B"/>
    <w:rsid w:val="009D6C42"/>
    <w:rsid w:val="009D7823"/>
    <w:rsid w:val="009D7AAB"/>
    <w:rsid w:val="009D7E8F"/>
    <w:rsid w:val="009E01AC"/>
    <w:rsid w:val="009E06A0"/>
    <w:rsid w:val="009E1201"/>
    <w:rsid w:val="009E1453"/>
    <w:rsid w:val="009E1936"/>
    <w:rsid w:val="009E2038"/>
    <w:rsid w:val="009E2315"/>
    <w:rsid w:val="009E24ED"/>
    <w:rsid w:val="009E269D"/>
    <w:rsid w:val="009E2FD1"/>
    <w:rsid w:val="009E3DA2"/>
    <w:rsid w:val="009E43AC"/>
    <w:rsid w:val="009E4C3A"/>
    <w:rsid w:val="009E4F3A"/>
    <w:rsid w:val="009E5632"/>
    <w:rsid w:val="009E65DD"/>
    <w:rsid w:val="009E6CED"/>
    <w:rsid w:val="009E6CF5"/>
    <w:rsid w:val="009E6EEE"/>
    <w:rsid w:val="009F016C"/>
    <w:rsid w:val="009F0CCA"/>
    <w:rsid w:val="009F1040"/>
    <w:rsid w:val="009F14CA"/>
    <w:rsid w:val="009F2547"/>
    <w:rsid w:val="009F25B3"/>
    <w:rsid w:val="009F2B46"/>
    <w:rsid w:val="009F2C10"/>
    <w:rsid w:val="009F2CE9"/>
    <w:rsid w:val="009F30C9"/>
    <w:rsid w:val="009F3EC6"/>
    <w:rsid w:val="009F40BB"/>
    <w:rsid w:val="009F4380"/>
    <w:rsid w:val="009F458E"/>
    <w:rsid w:val="009F45B1"/>
    <w:rsid w:val="009F46F2"/>
    <w:rsid w:val="009F4CE8"/>
    <w:rsid w:val="009F4FBC"/>
    <w:rsid w:val="009F50AF"/>
    <w:rsid w:val="009F51D3"/>
    <w:rsid w:val="009F59EE"/>
    <w:rsid w:val="009F5BC1"/>
    <w:rsid w:val="009F5C5D"/>
    <w:rsid w:val="009F60BF"/>
    <w:rsid w:val="009F622E"/>
    <w:rsid w:val="009F6A78"/>
    <w:rsid w:val="009F715F"/>
    <w:rsid w:val="009F723E"/>
    <w:rsid w:val="009F7498"/>
    <w:rsid w:val="009F7950"/>
    <w:rsid w:val="009F7A36"/>
    <w:rsid w:val="009F7A49"/>
    <w:rsid w:val="00A004E3"/>
    <w:rsid w:val="00A00591"/>
    <w:rsid w:val="00A00C13"/>
    <w:rsid w:val="00A01440"/>
    <w:rsid w:val="00A01DB0"/>
    <w:rsid w:val="00A027D9"/>
    <w:rsid w:val="00A027EF"/>
    <w:rsid w:val="00A03CCD"/>
    <w:rsid w:val="00A041DD"/>
    <w:rsid w:val="00A04CAD"/>
    <w:rsid w:val="00A05389"/>
    <w:rsid w:val="00A0597E"/>
    <w:rsid w:val="00A05B1A"/>
    <w:rsid w:val="00A05DC3"/>
    <w:rsid w:val="00A05FF0"/>
    <w:rsid w:val="00A05FF6"/>
    <w:rsid w:val="00A061C1"/>
    <w:rsid w:val="00A062AC"/>
    <w:rsid w:val="00A06414"/>
    <w:rsid w:val="00A06B98"/>
    <w:rsid w:val="00A0738B"/>
    <w:rsid w:val="00A0742A"/>
    <w:rsid w:val="00A100B9"/>
    <w:rsid w:val="00A107BE"/>
    <w:rsid w:val="00A1082F"/>
    <w:rsid w:val="00A10C94"/>
    <w:rsid w:val="00A10DAB"/>
    <w:rsid w:val="00A10F74"/>
    <w:rsid w:val="00A12062"/>
    <w:rsid w:val="00A1294D"/>
    <w:rsid w:val="00A13A19"/>
    <w:rsid w:val="00A1465D"/>
    <w:rsid w:val="00A14B3D"/>
    <w:rsid w:val="00A14FB8"/>
    <w:rsid w:val="00A150F7"/>
    <w:rsid w:val="00A1556F"/>
    <w:rsid w:val="00A15C00"/>
    <w:rsid w:val="00A15F94"/>
    <w:rsid w:val="00A165AD"/>
    <w:rsid w:val="00A179AE"/>
    <w:rsid w:val="00A17F60"/>
    <w:rsid w:val="00A20846"/>
    <w:rsid w:val="00A20FD4"/>
    <w:rsid w:val="00A216AC"/>
    <w:rsid w:val="00A21A12"/>
    <w:rsid w:val="00A21DCD"/>
    <w:rsid w:val="00A22CE3"/>
    <w:rsid w:val="00A22F64"/>
    <w:rsid w:val="00A23602"/>
    <w:rsid w:val="00A24C9C"/>
    <w:rsid w:val="00A254E8"/>
    <w:rsid w:val="00A25A12"/>
    <w:rsid w:val="00A25E65"/>
    <w:rsid w:val="00A25F04"/>
    <w:rsid w:val="00A26913"/>
    <w:rsid w:val="00A26B47"/>
    <w:rsid w:val="00A26D4D"/>
    <w:rsid w:val="00A26EDE"/>
    <w:rsid w:val="00A27CA5"/>
    <w:rsid w:val="00A27F40"/>
    <w:rsid w:val="00A305F1"/>
    <w:rsid w:val="00A313CB"/>
    <w:rsid w:val="00A314A5"/>
    <w:rsid w:val="00A318E7"/>
    <w:rsid w:val="00A32255"/>
    <w:rsid w:val="00A326E2"/>
    <w:rsid w:val="00A32D4F"/>
    <w:rsid w:val="00A346B5"/>
    <w:rsid w:val="00A346FE"/>
    <w:rsid w:val="00A34F6A"/>
    <w:rsid w:val="00A35710"/>
    <w:rsid w:val="00A35725"/>
    <w:rsid w:val="00A357FE"/>
    <w:rsid w:val="00A358C5"/>
    <w:rsid w:val="00A35C36"/>
    <w:rsid w:val="00A36333"/>
    <w:rsid w:val="00A364E5"/>
    <w:rsid w:val="00A3676F"/>
    <w:rsid w:val="00A36BAA"/>
    <w:rsid w:val="00A3714D"/>
    <w:rsid w:val="00A374B9"/>
    <w:rsid w:val="00A375F0"/>
    <w:rsid w:val="00A37FE8"/>
    <w:rsid w:val="00A40447"/>
    <w:rsid w:val="00A409F2"/>
    <w:rsid w:val="00A40C76"/>
    <w:rsid w:val="00A4113C"/>
    <w:rsid w:val="00A41AF7"/>
    <w:rsid w:val="00A41BB6"/>
    <w:rsid w:val="00A42AA5"/>
    <w:rsid w:val="00A42BEE"/>
    <w:rsid w:val="00A42FF7"/>
    <w:rsid w:val="00A43071"/>
    <w:rsid w:val="00A43119"/>
    <w:rsid w:val="00A4319F"/>
    <w:rsid w:val="00A4399A"/>
    <w:rsid w:val="00A439BC"/>
    <w:rsid w:val="00A4465B"/>
    <w:rsid w:val="00A44CD3"/>
    <w:rsid w:val="00A44F0B"/>
    <w:rsid w:val="00A4528E"/>
    <w:rsid w:val="00A452F9"/>
    <w:rsid w:val="00A456F4"/>
    <w:rsid w:val="00A4625C"/>
    <w:rsid w:val="00A46294"/>
    <w:rsid w:val="00A4786D"/>
    <w:rsid w:val="00A50684"/>
    <w:rsid w:val="00A50901"/>
    <w:rsid w:val="00A5114B"/>
    <w:rsid w:val="00A52410"/>
    <w:rsid w:val="00A527BA"/>
    <w:rsid w:val="00A52DC4"/>
    <w:rsid w:val="00A533C2"/>
    <w:rsid w:val="00A53962"/>
    <w:rsid w:val="00A53B58"/>
    <w:rsid w:val="00A53CA3"/>
    <w:rsid w:val="00A54E66"/>
    <w:rsid w:val="00A555BF"/>
    <w:rsid w:val="00A55652"/>
    <w:rsid w:val="00A55BA0"/>
    <w:rsid w:val="00A563BD"/>
    <w:rsid w:val="00A564F3"/>
    <w:rsid w:val="00A56649"/>
    <w:rsid w:val="00A600A6"/>
    <w:rsid w:val="00A600F0"/>
    <w:rsid w:val="00A60A20"/>
    <w:rsid w:val="00A60CE0"/>
    <w:rsid w:val="00A61E5F"/>
    <w:rsid w:val="00A6259A"/>
    <w:rsid w:val="00A62942"/>
    <w:rsid w:val="00A62D5E"/>
    <w:rsid w:val="00A630FA"/>
    <w:rsid w:val="00A631DC"/>
    <w:rsid w:val="00A63412"/>
    <w:rsid w:val="00A63627"/>
    <w:rsid w:val="00A64A43"/>
    <w:rsid w:val="00A65279"/>
    <w:rsid w:val="00A653F3"/>
    <w:rsid w:val="00A65844"/>
    <w:rsid w:val="00A66282"/>
    <w:rsid w:val="00A66A6D"/>
    <w:rsid w:val="00A67D77"/>
    <w:rsid w:val="00A67F83"/>
    <w:rsid w:val="00A70719"/>
    <w:rsid w:val="00A7096E"/>
    <w:rsid w:val="00A70C78"/>
    <w:rsid w:val="00A70F30"/>
    <w:rsid w:val="00A70FC7"/>
    <w:rsid w:val="00A71546"/>
    <w:rsid w:val="00A718AF"/>
    <w:rsid w:val="00A7192B"/>
    <w:rsid w:val="00A71CC0"/>
    <w:rsid w:val="00A72109"/>
    <w:rsid w:val="00A726B9"/>
    <w:rsid w:val="00A727CD"/>
    <w:rsid w:val="00A72924"/>
    <w:rsid w:val="00A729C4"/>
    <w:rsid w:val="00A72EB3"/>
    <w:rsid w:val="00A73467"/>
    <w:rsid w:val="00A734AA"/>
    <w:rsid w:val="00A73BCD"/>
    <w:rsid w:val="00A73CB4"/>
    <w:rsid w:val="00A74490"/>
    <w:rsid w:val="00A7465F"/>
    <w:rsid w:val="00A74930"/>
    <w:rsid w:val="00A75004"/>
    <w:rsid w:val="00A7592D"/>
    <w:rsid w:val="00A75B27"/>
    <w:rsid w:val="00A75C4F"/>
    <w:rsid w:val="00A76014"/>
    <w:rsid w:val="00A767DA"/>
    <w:rsid w:val="00A76EB9"/>
    <w:rsid w:val="00A77CA8"/>
    <w:rsid w:val="00A8157B"/>
    <w:rsid w:val="00A8168C"/>
    <w:rsid w:val="00A81848"/>
    <w:rsid w:val="00A81EF8"/>
    <w:rsid w:val="00A8315F"/>
    <w:rsid w:val="00A842B2"/>
    <w:rsid w:val="00A843F7"/>
    <w:rsid w:val="00A84AB5"/>
    <w:rsid w:val="00A859A3"/>
    <w:rsid w:val="00A86514"/>
    <w:rsid w:val="00A8695B"/>
    <w:rsid w:val="00A87667"/>
    <w:rsid w:val="00A876F6"/>
    <w:rsid w:val="00A87C1A"/>
    <w:rsid w:val="00A9035F"/>
    <w:rsid w:val="00A90C80"/>
    <w:rsid w:val="00A91053"/>
    <w:rsid w:val="00A912C3"/>
    <w:rsid w:val="00A91524"/>
    <w:rsid w:val="00A91C93"/>
    <w:rsid w:val="00A91DE7"/>
    <w:rsid w:val="00A93B7A"/>
    <w:rsid w:val="00A940D9"/>
    <w:rsid w:val="00A9422A"/>
    <w:rsid w:val="00A9480C"/>
    <w:rsid w:val="00A94A2F"/>
    <w:rsid w:val="00A94AF1"/>
    <w:rsid w:val="00A94F1F"/>
    <w:rsid w:val="00A950BA"/>
    <w:rsid w:val="00A9530F"/>
    <w:rsid w:val="00A95633"/>
    <w:rsid w:val="00A9585B"/>
    <w:rsid w:val="00A95C6A"/>
    <w:rsid w:val="00A95DE3"/>
    <w:rsid w:val="00A960E5"/>
    <w:rsid w:val="00A96E37"/>
    <w:rsid w:val="00A971A2"/>
    <w:rsid w:val="00A97490"/>
    <w:rsid w:val="00A9756A"/>
    <w:rsid w:val="00AA00E3"/>
    <w:rsid w:val="00AA0C04"/>
    <w:rsid w:val="00AA0C4C"/>
    <w:rsid w:val="00AA0CCC"/>
    <w:rsid w:val="00AA0E5E"/>
    <w:rsid w:val="00AA11E6"/>
    <w:rsid w:val="00AA1AC3"/>
    <w:rsid w:val="00AA208F"/>
    <w:rsid w:val="00AA27EA"/>
    <w:rsid w:val="00AA2C19"/>
    <w:rsid w:val="00AA311D"/>
    <w:rsid w:val="00AA320C"/>
    <w:rsid w:val="00AA394D"/>
    <w:rsid w:val="00AA3C4A"/>
    <w:rsid w:val="00AA3EF7"/>
    <w:rsid w:val="00AA40C9"/>
    <w:rsid w:val="00AA4189"/>
    <w:rsid w:val="00AA4608"/>
    <w:rsid w:val="00AA4762"/>
    <w:rsid w:val="00AA47ED"/>
    <w:rsid w:val="00AA4C61"/>
    <w:rsid w:val="00AA4DC5"/>
    <w:rsid w:val="00AA5B9C"/>
    <w:rsid w:val="00AA60B8"/>
    <w:rsid w:val="00AA6546"/>
    <w:rsid w:val="00AA6850"/>
    <w:rsid w:val="00AA688E"/>
    <w:rsid w:val="00AA6D19"/>
    <w:rsid w:val="00AA7DAB"/>
    <w:rsid w:val="00AB106B"/>
    <w:rsid w:val="00AB25F9"/>
    <w:rsid w:val="00AB2FBA"/>
    <w:rsid w:val="00AB3FE4"/>
    <w:rsid w:val="00AB469C"/>
    <w:rsid w:val="00AB49E9"/>
    <w:rsid w:val="00AB5227"/>
    <w:rsid w:val="00AB5565"/>
    <w:rsid w:val="00AB62F9"/>
    <w:rsid w:val="00AB770A"/>
    <w:rsid w:val="00AB772C"/>
    <w:rsid w:val="00AB7D01"/>
    <w:rsid w:val="00AC0C57"/>
    <w:rsid w:val="00AC11C9"/>
    <w:rsid w:val="00AC2675"/>
    <w:rsid w:val="00AC2BBB"/>
    <w:rsid w:val="00AC357B"/>
    <w:rsid w:val="00AC4B9F"/>
    <w:rsid w:val="00AC5837"/>
    <w:rsid w:val="00AC64E6"/>
    <w:rsid w:val="00AC67AF"/>
    <w:rsid w:val="00AC698C"/>
    <w:rsid w:val="00AC6AB6"/>
    <w:rsid w:val="00AC6D8F"/>
    <w:rsid w:val="00AC6E62"/>
    <w:rsid w:val="00AC7654"/>
    <w:rsid w:val="00AC77F0"/>
    <w:rsid w:val="00AD0212"/>
    <w:rsid w:val="00AD048D"/>
    <w:rsid w:val="00AD10A6"/>
    <w:rsid w:val="00AD11F3"/>
    <w:rsid w:val="00AD1219"/>
    <w:rsid w:val="00AD166B"/>
    <w:rsid w:val="00AD1842"/>
    <w:rsid w:val="00AD1B7F"/>
    <w:rsid w:val="00AD1FEC"/>
    <w:rsid w:val="00AD2079"/>
    <w:rsid w:val="00AD2500"/>
    <w:rsid w:val="00AD2864"/>
    <w:rsid w:val="00AD2D06"/>
    <w:rsid w:val="00AD32DE"/>
    <w:rsid w:val="00AD36CE"/>
    <w:rsid w:val="00AD39A2"/>
    <w:rsid w:val="00AD3C93"/>
    <w:rsid w:val="00AD460C"/>
    <w:rsid w:val="00AD4E0C"/>
    <w:rsid w:val="00AD5125"/>
    <w:rsid w:val="00AD57D2"/>
    <w:rsid w:val="00AD5C74"/>
    <w:rsid w:val="00AD6249"/>
    <w:rsid w:val="00AD6A0B"/>
    <w:rsid w:val="00AD740A"/>
    <w:rsid w:val="00AD788E"/>
    <w:rsid w:val="00AD7CA5"/>
    <w:rsid w:val="00AD7DEB"/>
    <w:rsid w:val="00AE00AA"/>
    <w:rsid w:val="00AE066B"/>
    <w:rsid w:val="00AE0693"/>
    <w:rsid w:val="00AE0B58"/>
    <w:rsid w:val="00AE0CEB"/>
    <w:rsid w:val="00AE14AA"/>
    <w:rsid w:val="00AE1724"/>
    <w:rsid w:val="00AE1B92"/>
    <w:rsid w:val="00AE1BEC"/>
    <w:rsid w:val="00AE1F59"/>
    <w:rsid w:val="00AE2025"/>
    <w:rsid w:val="00AE269B"/>
    <w:rsid w:val="00AE2795"/>
    <w:rsid w:val="00AE2937"/>
    <w:rsid w:val="00AE2B18"/>
    <w:rsid w:val="00AE2C51"/>
    <w:rsid w:val="00AE2C56"/>
    <w:rsid w:val="00AE2DC7"/>
    <w:rsid w:val="00AE304B"/>
    <w:rsid w:val="00AE4589"/>
    <w:rsid w:val="00AE45A5"/>
    <w:rsid w:val="00AE465E"/>
    <w:rsid w:val="00AE47D4"/>
    <w:rsid w:val="00AE4DD6"/>
    <w:rsid w:val="00AE5466"/>
    <w:rsid w:val="00AE552E"/>
    <w:rsid w:val="00AE59E6"/>
    <w:rsid w:val="00AE5E95"/>
    <w:rsid w:val="00AE6BEA"/>
    <w:rsid w:val="00AE6CCF"/>
    <w:rsid w:val="00AE795A"/>
    <w:rsid w:val="00AE7982"/>
    <w:rsid w:val="00AE7CEA"/>
    <w:rsid w:val="00AF0837"/>
    <w:rsid w:val="00AF0BCC"/>
    <w:rsid w:val="00AF11CF"/>
    <w:rsid w:val="00AF155A"/>
    <w:rsid w:val="00AF1672"/>
    <w:rsid w:val="00AF20DB"/>
    <w:rsid w:val="00AF21BA"/>
    <w:rsid w:val="00AF268E"/>
    <w:rsid w:val="00AF2BD0"/>
    <w:rsid w:val="00AF2BF9"/>
    <w:rsid w:val="00AF390B"/>
    <w:rsid w:val="00AF390F"/>
    <w:rsid w:val="00AF3F9D"/>
    <w:rsid w:val="00AF41A8"/>
    <w:rsid w:val="00AF4284"/>
    <w:rsid w:val="00AF4776"/>
    <w:rsid w:val="00AF5598"/>
    <w:rsid w:val="00AF592E"/>
    <w:rsid w:val="00AF59D1"/>
    <w:rsid w:val="00AF59FC"/>
    <w:rsid w:val="00AF61D4"/>
    <w:rsid w:val="00AF6861"/>
    <w:rsid w:val="00AF6945"/>
    <w:rsid w:val="00AF69FB"/>
    <w:rsid w:val="00AF6FFB"/>
    <w:rsid w:val="00AF70A1"/>
    <w:rsid w:val="00AF786A"/>
    <w:rsid w:val="00AF7C1A"/>
    <w:rsid w:val="00AF7F33"/>
    <w:rsid w:val="00B000F7"/>
    <w:rsid w:val="00B00622"/>
    <w:rsid w:val="00B00A97"/>
    <w:rsid w:val="00B019F8"/>
    <w:rsid w:val="00B01CC8"/>
    <w:rsid w:val="00B01D4C"/>
    <w:rsid w:val="00B02EC1"/>
    <w:rsid w:val="00B03283"/>
    <w:rsid w:val="00B0430B"/>
    <w:rsid w:val="00B0433B"/>
    <w:rsid w:val="00B04B6E"/>
    <w:rsid w:val="00B04E63"/>
    <w:rsid w:val="00B0566D"/>
    <w:rsid w:val="00B0685C"/>
    <w:rsid w:val="00B07A50"/>
    <w:rsid w:val="00B07D28"/>
    <w:rsid w:val="00B07DC6"/>
    <w:rsid w:val="00B07F58"/>
    <w:rsid w:val="00B10EAD"/>
    <w:rsid w:val="00B11A48"/>
    <w:rsid w:val="00B12DD6"/>
    <w:rsid w:val="00B13D22"/>
    <w:rsid w:val="00B14062"/>
    <w:rsid w:val="00B14793"/>
    <w:rsid w:val="00B15505"/>
    <w:rsid w:val="00B16446"/>
    <w:rsid w:val="00B16D5E"/>
    <w:rsid w:val="00B17410"/>
    <w:rsid w:val="00B20259"/>
    <w:rsid w:val="00B204DA"/>
    <w:rsid w:val="00B20CD0"/>
    <w:rsid w:val="00B20E5B"/>
    <w:rsid w:val="00B21BFE"/>
    <w:rsid w:val="00B223B1"/>
    <w:rsid w:val="00B23274"/>
    <w:rsid w:val="00B2388B"/>
    <w:rsid w:val="00B23D33"/>
    <w:rsid w:val="00B2483F"/>
    <w:rsid w:val="00B24B3C"/>
    <w:rsid w:val="00B24B5B"/>
    <w:rsid w:val="00B25B76"/>
    <w:rsid w:val="00B25BDD"/>
    <w:rsid w:val="00B25F87"/>
    <w:rsid w:val="00B2673C"/>
    <w:rsid w:val="00B26BE1"/>
    <w:rsid w:val="00B26C50"/>
    <w:rsid w:val="00B26D2E"/>
    <w:rsid w:val="00B272AE"/>
    <w:rsid w:val="00B27539"/>
    <w:rsid w:val="00B27748"/>
    <w:rsid w:val="00B279DC"/>
    <w:rsid w:val="00B27D80"/>
    <w:rsid w:val="00B30783"/>
    <w:rsid w:val="00B30888"/>
    <w:rsid w:val="00B308D5"/>
    <w:rsid w:val="00B30E6F"/>
    <w:rsid w:val="00B314D9"/>
    <w:rsid w:val="00B31BD1"/>
    <w:rsid w:val="00B32205"/>
    <w:rsid w:val="00B327E4"/>
    <w:rsid w:val="00B33A4E"/>
    <w:rsid w:val="00B33CDD"/>
    <w:rsid w:val="00B34176"/>
    <w:rsid w:val="00B34526"/>
    <w:rsid w:val="00B351C5"/>
    <w:rsid w:val="00B35328"/>
    <w:rsid w:val="00B3571C"/>
    <w:rsid w:val="00B35871"/>
    <w:rsid w:val="00B3588F"/>
    <w:rsid w:val="00B361E6"/>
    <w:rsid w:val="00B36244"/>
    <w:rsid w:val="00B36415"/>
    <w:rsid w:val="00B37035"/>
    <w:rsid w:val="00B370A6"/>
    <w:rsid w:val="00B373F9"/>
    <w:rsid w:val="00B37673"/>
    <w:rsid w:val="00B377C7"/>
    <w:rsid w:val="00B378B1"/>
    <w:rsid w:val="00B37B0F"/>
    <w:rsid w:val="00B40096"/>
    <w:rsid w:val="00B4023F"/>
    <w:rsid w:val="00B40767"/>
    <w:rsid w:val="00B41647"/>
    <w:rsid w:val="00B41B9A"/>
    <w:rsid w:val="00B4257F"/>
    <w:rsid w:val="00B42767"/>
    <w:rsid w:val="00B42ECE"/>
    <w:rsid w:val="00B43678"/>
    <w:rsid w:val="00B4417A"/>
    <w:rsid w:val="00B44509"/>
    <w:rsid w:val="00B44960"/>
    <w:rsid w:val="00B466F7"/>
    <w:rsid w:val="00B468C9"/>
    <w:rsid w:val="00B46AD2"/>
    <w:rsid w:val="00B46D13"/>
    <w:rsid w:val="00B474D2"/>
    <w:rsid w:val="00B47F4E"/>
    <w:rsid w:val="00B50F00"/>
    <w:rsid w:val="00B51CD8"/>
    <w:rsid w:val="00B521AA"/>
    <w:rsid w:val="00B52A90"/>
    <w:rsid w:val="00B52AD0"/>
    <w:rsid w:val="00B53BA4"/>
    <w:rsid w:val="00B53E57"/>
    <w:rsid w:val="00B5405D"/>
    <w:rsid w:val="00B54200"/>
    <w:rsid w:val="00B54244"/>
    <w:rsid w:val="00B554DB"/>
    <w:rsid w:val="00B56EE6"/>
    <w:rsid w:val="00B56FA5"/>
    <w:rsid w:val="00B577BE"/>
    <w:rsid w:val="00B57875"/>
    <w:rsid w:val="00B57B1F"/>
    <w:rsid w:val="00B6049F"/>
    <w:rsid w:val="00B60D94"/>
    <w:rsid w:val="00B617D9"/>
    <w:rsid w:val="00B61B6E"/>
    <w:rsid w:val="00B61D5C"/>
    <w:rsid w:val="00B6220F"/>
    <w:rsid w:val="00B6288D"/>
    <w:rsid w:val="00B6354B"/>
    <w:rsid w:val="00B63724"/>
    <w:rsid w:val="00B63868"/>
    <w:rsid w:val="00B63E4C"/>
    <w:rsid w:val="00B64045"/>
    <w:rsid w:val="00B64114"/>
    <w:rsid w:val="00B641DB"/>
    <w:rsid w:val="00B64286"/>
    <w:rsid w:val="00B643FD"/>
    <w:rsid w:val="00B6481D"/>
    <w:rsid w:val="00B65189"/>
    <w:rsid w:val="00B6568C"/>
    <w:rsid w:val="00B6587C"/>
    <w:rsid w:val="00B65F9E"/>
    <w:rsid w:val="00B66535"/>
    <w:rsid w:val="00B669D9"/>
    <w:rsid w:val="00B669E8"/>
    <w:rsid w:val="00B66ACE"/>
    <w:rsid w:val="00B67893"/>
    <w:rsid w:val="00B67F8D"/>
    <w:rsid w:val="00B70551"/>
    <w:rsid w:val="00B705FC"/>
    <w:rsid w:val="00B707E7"/>
    <w:rsid w:val="00B707FE"/>
    <w:rsid w:val="00B71429"/>
    <w:rsid w:val="00B71537"/>
    <w:rsid w:val="00B71FEA"/>
    <w:rsid w:val="00B721AB"/>
    <w:rsid w:val="00B7228F"/>
    <w:rsid w:val="00B72415"/>
    <w:rsid w:val="00B724C8"/>
    <w:rsid w:val="00B72992"/>
    <w:rsid w:val="00B729BA"/>
    <w:rsid w:val="00B72AC7"/>
    <w:rsid w:val="00B72B9E"/>
    <w:rsid w:val="00B73070"/>
    <w:rsid w:val="00B736F5"/>
    <w:rsid w:val="00B73828"/>
    <w:rsid w:val="00B73950"/>
    <w:rsid w:val="00B73C07"/>
    <w:rsid w:val="00B74384"/>
    <w:rsid w:val="00B75496"/>
    <w:rsid w:val="00B75855"/>
    <w:rsid w:val="00B76E35"/>
    <w:rsid w:val="00B77099"/>
    <w:rsid w:val="00B77259"/>
    <w:rsid w:val="00B77479"/>
    <w:rsid w:val="00B77490"/>
    <w:rsid w:val="00B777B3"/>
    <w:rsid w:val="00B80134"/>
    <w:rsid w:val="00B80177"/>
    <w:rsid w:val="00B8026B"/>
    <w:rsid w:val="00B80E4A"/>
    <w:rsid w:val="00B82729"/>
    <w:rsid w:val="00B82837"/>
    <w:rsid w:val="00B829E9"/>
    <w:rsid w:val="00B82C1A"/>
    <w:rsid w:val="00B831BE"/>
    <w:rsid w:val="00B83454"/>
    <w:rsid w:val="00B83F2B"/>
    <w:rsid w:val="00B84AEC"/>
    <w:rsid w:val="00B84C16"/>
    <w:rsid w:val="00B860E8"/>
    <w:rsid w:val="00B866F9"/>
    <w:rsid w:val="00B86FA0"/>
    <w:rsid w:val="00B87C18"/>
    <w:rsid w:val="00B87E37"/>
    <w:rsid w:val="00B90BFF"/>
    <w:rsid w:val="00B91518"/>
    <w:rsid w:val="00B918CA"/>
    <w:rsid w:val="00B91B4F"/>
    <w:rsid w:val="00B92019"/>
    <w:rsid w:val="00B9233F"/>
    <w:rsid w:val="00B92D8B"/>
    <w:rsid w:val="00B92DB1"/>
    <w:rsid w:val="00B931E2"/>
    <w:rsid w:val="00B93300"/>
    <w:rsid w:val="00B9386B"/>
    <w:rsid w:val="00B93900"/>
    <w:rsid w:val="00B93E35"/>
    <w:rsid w:val="00B93E71"/>
    <w:rsid w:val="00B94067"/>
    <w:rsid w:val="00B950C8"/>
    <w:rsid w:val="00B950E1"/>
    <w:rsid w:val="00B95146"/>
    <w:rsid w:val="00B9565C"/>
    <w:rsid w:val="00B962E4"/>
    <w:rsid w:val="00B9699B"/>
    <w:rsid w:val="00B97942"/>
    <w:rsid w:val="00B97D99"/>
    <w:rsid w:val="00BA0851"/>
    <w:rsid w:val="00BA091C"/>
    <w:rsid w:val="00BA0B49"/>
    <w:rsid w:val="00BA0D19"/>
    <w:rsid w:val="00BA1747"/>
    <w:rsid w:val="00BA1828"/>
    <w:rsid w:val="00BA1A4B"/>
    <w:rsid w:val="00BA1D22"/>
    <w:rsid w:val="00BA244B"/>
    <w:rsid w:val="00BA331D"/>
    <w:rsid w:val="00BA3C49"/>
    <w:rsid w:val="00BA3CE0"/>
    <w:rsid w:val="00BA4355"/>
    <w:rsid w:val="00BA4633"/>
    <w:rsid w:val="00BA46A3"/>
    <w:rsid w:val="00BA4772"/>
    <w:rsid w:val="00BA4BA3"/>
    <w:rsid w:val="00BA4DEE"/>
    <w:rsid w:val="00BA4E81"/>
    <w:rsid w:val="00BA573A"/>
    <w:rsid w:val="00BA6049"/>
    <w:rsid w:val="00BA626A"/>
    <w:rsid w:val="00BA69DE"/>
    <w:rsid w:val="00BA6A03"/>
    <w:rsid w:val="00BA6B2A"/>
    <w:rsid w:val="00BA6DDB"/>
    <w:rsid w:val="00BA6DE5"/>
    <w:rsid w:val="00BA7684"/>
    <w:rsid w:val="00BA78D3"/>
    <w:rsid w:val="00BB037A"/>
    <w:rsid w:val="00BB0C7B"/>
    <w:rsid w:val="00BB0F13"/>
    <w:rsid w:val="00BB1023"/>
    <w:rsid w:val="00BB183C"/>
    <w:rsid w:val="00BB1B4E"/>
    <w:rsid w:val="00BB1F3A"/>
    <w:rsid w:val="00BB2085"/>
    <w:rsid w:val="00BB2B13"/>
    <w:rsid w:val="00BB2C4A"/>
    <w:rsid w:val="00BB2DAF"/>
    <w:rsid w:val="00BB2E5D"/>
    <w:rsid w:val="00BB30EE"/>
    <w:rsid w:val="00BB36A9"/>
    <w:rsid w:val="00BB38D0"/>
    <w:rsid w:val="00BB4377"/>
    <w:rsid w:val="00BB4839"/>
    <w:rsid w:val="00BB5562"/>
    <w:rsid w:val="00BB5790"/>
    <w:rsid w:val="00BB59E4"/>
    <w:rsid w:val="00BB60F8"/>
    <w:rsid w:val="00BB6C0D"/>
    <w:rsid w:val="00BB6FA6"/>
    <w:rsid w:val="00BB7B26"/>
    <w:rsid w:val="00BC09F3"/>
    <w:rsid w:val="00BC1869"/>
    <w:rsid w:val="00BC1B60"/>
    <w:rsid w:val="00BC2272"/>
    <w:rsid w:val="00BC261C"/>
    <w:rsid w:val="00BC399E"/>
    <w:rsid w:val="00BC42FA"/>
    <w:rsid w:val="00BC4566"/>
    <w:rsid w:val="00BC54BC"/>
    <w:rsid w:val="00BC5698"/>
    <w:rsid w:val="00BC5CB1"/>
    <w:rsid w:val="00BC61A2"/>
    <w:rsid w:val="00BC6692"/>
    <w:rsid w:val="00BC670E"/>
    <w:rsid w:val="00BC706B"/>
    <w:rsid w:val="00BC7A37"/>
    <w:rsid w:val="00BC7BD1"/>
    <w:rsid w:val="00BD0B99"/>
    <w:rsid w:val="00BD2B2B"/>
    <w:rsid w:val="00BD32E9"/>
    <w:rsid w:val="00BD46B5"/>
    <w:rsid w:val="00BD4AB7"/>
    <w:rsid w:val="00BD4C73"/>
    <w:rsid w:val="00BD51A9"/>
    <w:rsid w:val="00BD52B7"/>
    <w:rsid w:val="00BD54E2"/>
    <w:rsid w:val="00BD586D"/>
    <w:rsid w:val="00BD5887"/>
    <w:rsid w:val="00BD58CF"/>
    <w:rsid w:val="00BD5947"/>
    <w:rsid w:val="00BD6281"/>
    <w:rsid w:val="00BD6F01"/>
    <w:rsid w:val="00BD7132"/>
    <w:rsid w:val="00BD7314"/>
    <w:rsid w:val="00BE10C2"/>
    <w:rsid w:val="00BE1FDB"/>
    <w:rsid w:val="00BE2968"/>
    <w:rsid w:val="00BE2B33"/>
    <w:rsid w:val="00BE2C88"/>
    <w:rsid w:val="00BE2CE0"/>
    <w:rsid w:val="00BE3189"/>
    <w:rsid w:val="00BE36F4"/>
    <w:rsid w:val="00BE3D6C"/>
    <w:rsid w:val="00BE445F"/>
    <w:rsid w:val="00BE4A84"/>
    <w:rsid w:val="00BE50B3"/>
    <w:rsid w:val="00BE58AF"/>
    <w:rsid w:val="00BE5DF7"/>
    <w:rsid w:val="00BE6264"/>
    <w:rsid w:val="00BE6398"/>
    <w:rsid w:val="00BE6DAA"/>
    <w:rsid w:val="00BF013D"/>
    <w:rsid w:val="00BF01D4"/>
    <w:rsid w:val="00BF0434"/>
    <w:rsid w:val="00BF0D93"/>
    <w:rsid w:val="00BF128E"/>
    <w:rsid w:val="00BF1B2B"/>
    <w:rsid w:val="00BF1E98"/>
    <w:rsid w:val="00BF1FDB"/>
    <w:rsid w:val="00BF25CA"/>
    <w:rsid w:val="00BF27D5"/>
    <w:rsid w:val="00BF2AD0"/>
    <w:rsid w:val="00BF2D4E"/>
    <w:rsid w:val="00BF31AB"/>
    <w:rsid w:val="00BF54BE"/>
    <w:rsid w:val="00BF57AA"/>
    <w:rsid w:val="00BF5A9B"/>
    <w:rsid w:val="00BF625C"/>
    <w:rsid w:val="00BF695C"/>
    <w:rsid w:val="00BF70F2"/>
    <w:rsid w:val="00BF7417"/>
    <w:rsid w:val="00BF742C"/>
    <w:rsid w:val="00BF7A77"/>
    <w:rsid w:val="00BF7A94"/>
    <w:rsid w:val="00BF7B13"/>
    <w:rsid w:val="00C00079"/>
    <w:rsid w:val="00C00624"/>
    <w:rsid w:val="00C00A8B"/>
    <w:rsid w:val="00C00BD8"/>
    <w:rsid w:val="00C00D41"/>
    <w:rsid w:val="00C014B5"/>
    <w:rsid w:val="00C016B2"/>
    <w:rsid w:val="00C01903"/>
    <w:rsid w:val="00C02208"/>
    <w:rsid w:val="00C0429F"/>
    <w:rsid w:val="00C043DF"/>
    <w:rsid w:val="00C044CE"/>
    <w:rsid w:val="00C04B6A"/>
    <w:rsid w:val="00C04F15"/>
    <w:rsid w:val="00C0566B"/>
    <w:rsid w:val="00C0568F"/>
    <w:rsid w:val="00C05882"/>
    <w:rsid w:val="00C05A4F"/>
    <w:rsid w:val="00C05A51"/>
    <w:rsid w:val="00C05E3F"/>
    <w:rsid w:val="00C05F4E"/>
    <w:rsid w:val="00C0649D"/>
    <w:rsid w:val="00C06D0A"/>
    <w:rsid w:val="00C06DB8"/>
    <w:rsid w:val="00C07191"/>
    <w:rsid w:val="00C07481"/>
    <w:rsid w:val="00C076EA"/>
    <w:rsid w:val="00C07A99"/>
    <w:rsid w:val="00C102FA"/>
    <w:rsid w:val="00C103D1"/>
    <w:rsid w:val="00C10814"/>
    <w:rsid w:val="00C10B1A"/>
    <w:rsid w:val="00C10C5C"/>
    <w:rsid w:val="00C1118F"/>
    <w:rsid w:val="00C114C1"/>
    <w:rsid w:val="00C11A60"/>
    <w:rsid w:val="00C127E8"/>
    <w:rsid w:val="00C12E7D"/>
    <w:rsid w:val="00C1304F"/>
    <w:rsid w:val="00C13532"/>
    <w:rsid w:val="00C13E97"/>
    <w:rsid w:val="00C13FD0"/>
    <w:rsid w:val="00C14605"/>
    <w:rsid w:val="00C14930"/>
    <w:rsid w:val="00C15307"/>
    <w:rsid w:val="00C15E93"/>
    <w:rsid w:val="00C16650"/>
    <w:rsid w:val="00C169D1"/>
    <w:rsid w:val="00C17354"/>
    <w:rsid w:val="00C1760E"/>
    <w:rsid w:val="00C17FC3"/>
    <w:rsid w:val="00C20ABD"/>
    <w:rsid w:val="00C20C5B"/>
    <w:rsid w:val="00C20DD4"/>
    <w:rsid w:val="00C21964"/>
    <w:rsid w:val="00C21AE6"/>
    <w:rsid w:val="00C223DC"/>
    <w:rsid w:val="00C22744"/>
    <w:rsid w:val="00C23F55"/>
    <w:rsid w:val="00C24E29"/>
    <w:rsid w:val="00C24F57"/>
    <w:rsid w:val="00C2526E"/>
    <w:rsid w:val="00C27999"/>
    <w:rsid w:val="00C27F72"/>
    <w:rsid w:val="00C30019"/>
    <w:rsid w:val="00C30080"/>
    <w:rsid w:val="00C311F8"/>
    <w:rsid w:val="00C31F49"/>
    <w:rsid w:val="00C32448"/>
    <w:rsid w:val="00C32590"/>
    <w:rsid w:val="00C326B9"/>
    <w:rsid w:val="00C32A4E"/>
    <w:rsid w:val="00C32B81"/>
    <w:rsid w:val="00C3382E"/>
    <w:rsid w:val="00C33EFC"/>
    <w:rsid w:val="00C346E2"/>
    <w:rsid w:val="00C3503F"/>
    <w:rsid w:val="00C3529A"/>
    <w:rsid w:val="00C35335"/>
    <w:rsid w:val="00C354FB"/>
    <w:rsid w:val="00C35830"/>
    <w:rsid w:val="00C363A4"/>
    <w:rsid w:val="00C36A4C"/>
    <w:rsid w:val="00C36F3C"/>
    <w:rsid w:val="00C37084"/>
    <w:rsid w:val="00C37380"/>
    <w:rsid w:val="00C378F2"/>
    <w:rsid w:val="00C37DBF"/>
    <w:rsid w:val="00C40DE6"/>
    <w:rsid w:val="00C41141"/>
    <w:rsid w:val="00C41BBB"/>
    <w:rsid w:val="00C4301A"/>
    <w:rsid w:val="00C43371"/>
    <w:rsid w:val="00C435FA"/>
    <w:rsid w:val="00C44FFD"/>
    <w:rsid w:val="00C45395"/>
    <w:rsid w:val="00C4542C"/>
    <w:rsid w:val="00C456BB"/>
    <w:rsid w:val="00C461A2"/>
    <w:rsid w:val="00C463F6"/>
    <w:rsid w:val="00C46610"/>
    <w:rsid w:val="00C46B33"/>
    <w:rsid w:val="00C46EB5"/>
    <w:rsid w:val="00C47347"/>
    <w:rsid w:val="00C47431"/>
    <w:rsid w:val="00C47946"/>
    <w:rsid w:val="00C47B0B"/>
    <w:rsid w:val="00C47B51"/>
    <w:rsid w:val="00C47D70"/>
    <w:rsid w:val="00C50235"/>
    <w:rsid w:val="00C505DB"/>
    <w:rsid w:val="00C50883"/>
    <w:rsid w:val="00C50A5D"/>
    <w:rsid w:val="00C50AA0"/>
    <w:rsid w:val="00C50C56"/>
    <w:rsid w:val="00C51457"/>
    <w:rsid w:val="00C51C0E"/>
    <w:rsid w:val="00C51CBF"/>
    <w:rsid w:val="00C5226E"/>
    <w:rsid w:val="00C523BD"/>
    <w:rsid w:val="00C52774"/>
    <w:rsid w:val="00C52BA6"/>
    <w:rsid w:val="00C53869"/>
    <w:rsid w:val="00C53A20"/>
    <w:rsid w:val="00C53A6E"/>
    <w:rsid w:val="00C53DB9"/>
    <w:rsid w:val="00C53E23"/>
    <w:rsid w:val="00C5466E"/>
    <w:rsid w:val="00C555CC"/>
    <w:rsid w:val="00C5577A"/>
    <w:rsid w:val="00C55947"/>
    <w:rsid w:val="00C55B62"/>
    <w:rsid w:val="00C567FA"/>
    <w:rsid w:val="00C56BA5"/>
    <w:rsid w:val="00C56CC3"/>
    <w:rsid w:val="00C5781F"/>
    <w:rsid w:val="00C578BA"/>
    <w:rsid w:val="00C5798D"/>
    <w:rsid w:val="00C57E42"/>
    <w:rsid w:val="00C57FA3"/>
    <w:rsid w:val="00C60A3F"/>
    <w:rsid w:val="00C61604"/>
    <w:rsid w:val="00C61864"/>
    <w:rsid w:val="00C624B3"/>
    <w:rsid w:val="00C62539"/>
    <w:rsid w:val="00C625A3"/>
    <w:rsid w:val="00C62625"/>
    <w:rsid w:val="00C62A21"/>
    <w:rsid w:val="00C637B0"/>
    <w:rsid w:val="00C63FEE"/>
    <w:rsid w:val="00C64AE9"/>
    <w:rsid w:val="00C64AF0"/>
    <w:rsid w:val="00C6512B"/>
    <w:rsid w:val="00C6523B"/>
    <w:rsid w:val="00C657AF"/>
    <w:rsid w:val="00C6584D"/>
    <w:rsid w:val="00C65F5C"/>
    <w:rsid w:val="00C671BA"/>
    <w:rsid w:val="00C67CB4"/>
    <w:rsid w:val="00C67F35"/>
    <w:rsid w:val="00C70420"/>
    <w:rsid w:val="00C70E56"/>
    <w:rsid w:val="00C718F4"/>
    <w:rsid w:val="00C71D96"/>
    <w:rsid w:val="00C71EE4"/>
    <w:rsid w:val="00C71F4A"/>
    <w:rsid w:val="00C72344"/>
    <w:rsid w:val="00C72BA7"/>
    <w:rsid w:val="00C72D13"/>
    <w:rsid w:val="00C739F1"/>
    <w:rsid w:val="00C749A7"/>
    <w:rsid w:val="00C75625"/>
    <w:rsid w:val="00C7645E"/>
    <w:rsid w:val="00C80200"/>
    <w:rsid w:val="00C8143B"/>
    <w:rsid w:val="00C816EB"/>
    <w:rsid w:val="00C81A40"/>
    <w:rsid w:val="00C81C51"/>
    <w:rsid w:val="00C82ED1"/>
    <w:rsid w:val="00C82F90"/>
    <w:rsid w:val="00C837C9"/>
    <w:rsid w:val="00C8399B"/>
    <w:rsid w:val="00C83C42"/>
    <w:rsid w:val="00C84C37"/>
    <w:rsid w:val="00C85149"/>
    <w:rsid w:val="00C852B4"/>
    <w:rsid w:val="00C858C0"/>
    <w:rsid w:val="00C8602A"/>
    <w:rsid w:val="00C86B9A"/>
    <w:rsid w:val="00C86BC2"/>
    <w:rsid w:val="00C86CAC"/>
    <w:rsid w:val="00C86EBC"/>
    <w:rsid w:val="00C874E3"/>
    <w:rsid w:val="00C9071F"/>
    <w:rsid w:val="00C91698"/>
    <w:rsid w:val="00C917D5"/>
    <w:rsid w:val="00C9209B"/>
    <w:rsid w:val="00C92B9C"/>
    <w:rsid w:val="00C932B9"/>
    <w:rsid w:val="00C937D3"/>
    <w:rsid w:val="00C94178"/>
    <w:rsid w:val="00C94FA0"/>
    <w:rsid w:val="00C95A0A"/>
    <w:rsid w:val="00C95D25"/>
    <w:rsid w:val="00C9625F"/>
    <w:rsid w:val="00C96400"/>
    <w:rsid w:val="00C96D34"/>
    <w:rsid w:val="00C96DA3"/>
    <w:rsid w:val="00C96F61"/>
    <w:rsid w:val="00C97585"/>
    <w:rsid w:val="00C97604"/>
    <w:rsid w:val="00C97B3C"/>
    <w:rsid w:val="00C97E97"/>
    <w:rsid w:val="00CA12E5"/>
    <w:rsid w:val="00CA133A"/>
    <w:rsid w:val="00CA1544"/>
    <w:rsid w:val="00CA1617"/>
    <w:rsid w:val="00CA1740"/>
    <w:rsid w:val="00CA1E0A"/>
    <w:rsid w:val="00CA1E1C"/>
    <w:rsid w:val="00CA2047"/>
    <w:rsid w:val="00CA2701"/>
    <w:rsid w:val="00CA2DA9"/>
    <w:rsid w:val="00CA3954"/>
    <w:rsid w:val="00CA3D2B"/>
    <w:rsid w:val="00CA406D"/>
    <w:rsid w:val="00CA42B5"/>
    <w:rsid w:val="00CA4A58"/>
    <w:rsid w:val="00CA5643"/>
    <w:rsid w:val="00CA590E"/>
    <w:rsid w:val="00CA73EF"/>
    <w:rsid w:val="00CA7830"/>
    <w:rsid w:val="00CA7BC0"/>
    <w:rsid w:val="00CB031C"/>
    <w:rsid w:val="00CB059F"/>
    <w:rsid w:val="00CB0731"/>
    <w:rsid w:val="00CB1083"/>
    <w:rsid w:val="00CB13D5"/>
    <w:rsid w:val="00CB1EDE"/>
    <w:rsid w:val="00CB200A"/>
    <w:rsid w:val="00CB2486"/>
    <w:rsid w:val="00CB2670"/>
    <w:rsid w:val="00CB3F27"/>
    <w:rsid w:val="00CB461C"/>
    <w:rsid w:val="00CB47A7"/>
    <w:rsid w:val="00CB544D"/>
    <w:rsid w:val="00CB5826"/>
    <w:rsid w:val="00CB637D"/>
    <w:rsid w:val="00CB6DDE"/>
    <w:rsid w:val="00CB6F23"/>
    <w:rsid w:val="00CB765D"/>
    <w:rsid w:val="00CB769F"/>
    <w:rsid w:val="00CB780D"/>
    <w:rsid w:val="00CB7B47"/>
    <w:rsid w:val="00CC0432"/>
    <w:rsid w:val="00CC062D"/>
    <w:rsid w:val="00CC07C4"/>
    <w:rsid w:val="00CC0A6F"/>
    <w:rsid w:val="00CC0D15"/>
    <w:rsid w:val="00CC123D"/>
    <w:rsid w:val="00CC13F2"/>
    <w:rsid w:val="00CC17E3"/>
    <w:rsid w:val="00CC1C03"/>
    <w:rsid w:val="00CC272C"/>
    <w:rsid w:val="00CC2B47"/>
    <w:rsid w:val="00CC2D96"/>
    <w:rsid w:val="00CC325C"/>
    <w:rsid w:val="00CC3403"/>
    <w:rsid w:val="00CC353C"/>
    <w:rsid w:val="00CC4054"/>
    <w:rsid w:val="00CC405D"/>
    <w:rsid w:val="00CC4401"/>
    <w:rsid w:val="00CC445D"/>
    <w:rsid w:val="00CC45DF"/>
    <w:rsid w:val="00CC4CFF"/>
    <w:rsid w:val="00CC50DD"/>
    <w:rsid w:val="00CC52E2"/>
    <w:rsid w:val="00CC53DC"/>
    <w:rsid w:val="00CC5CBD"/>
    <w:rsid w:val="00CC5D05"/>
    <w:rsid w:val="00CC6812"/>
    <w:rsid w:val="00CC6A9D"/>
    <w:rsid w:val="00CC6C5A"/>
    <w:rsid w:val="00CD0055"/>
    <w:rsid w:val="00CD1921"/>
    <w:rsid w:val="00CD1B79"/>
    <w:rsid w:val="00CD1EF9"/>
    <w:rsid w:val="00CD3771"/>
    <w:rsid w:val="00CD3783"/>
    <w:rsid w:val="00CD38AF"/>
    <w:rsid w:val="00CD3939"/>
    <w:rsid w:val="00CD3EA2"/>
    <w:rsid w:val="00CD3F47"/>
    <w:rsid w:val="00CD405A"/>
    <w:rsid w:val="00CD42CD"/>
    <w:rsid w:val="00CD4681"/>
    <w:rsid w:val="00CD4CCD"/>
    <w:rsid w:val="00CD4D72"/>
    <w:rsid w:val="00CD5051"/>
    <w:rsid w:val="00CD532C"/>
    <w:rsid w:val="00CD5A42"/>
    <w:rsid w:val="00CD5B3B"/>
    <w:rsid w:val="00CD5DCF"/>
    <w:rsid w:val="00CD5F37"/>
    <w:rsid w:val="00CD634A"/>
    <w:rsid w:val="00CD63AF"/>
    <w:rsid w:val="00CD7316"/>
    <w:rsid w:val="00CD7618"/>
    <w:rsid w:val="00CD779D"/>
    <w:rsid w:val="00CD7B26"/>
    <w:rsid w:val="00CE0272"/>
    <w:rsid w:val="00CE02BC"/>
    <w:rsid w:val="00CE0357"/>
    <w:rsid w:val="00CE08E3"/>
    <w:rsid w:val="00CE1882"/>
    <w:rsid w:val="00CE19B6"/>
    <w:rsid w:val="00CE1B58"/>
    <w:rsid w:val="00CE1C6A"/>
    <w:rsid w:val="00CE26E3"/>
    <w:rsid w:val="00CE273D"/>
    <w:rsid w:val="00CE2CA8"/>
    <w:rsid w:val="00CE30F9"/>
    <w:rsid w:val="00CE3159"/>
    <w:rsid w:val="00CE416C"/>
    <w:rsid w:val="00CE46DC"/>
    <w:rsid w:val="00CE5477"/>
    <w:rsid w:val="00CE5645"/>
    <w:rsid w:val="00CE57A7"/>
    <w:rsid w:val="00CE5CA5"/>
    <w:rsid w:val="00CE6071"/>
    <w:rsid w:val="00CE63E7"/>
    <w:rsid w:val="00CE6851"/>
    <w:rsid w:val="00CE6F20"/>
    <w:rsid w:val="00CE7CA4"/>
    <w:rsid w:val="00CF0354"/>
    <w:rsid w:val="00CF0D12"/>
    <w:rsid w:val="00CF0D80"/>
    <w:rsid w:val="00CF168C"/>
    <w:rsid w:val="00CF170B"/>
    <w:rsid w:val="00CF1BD2"/>
    <w:rsid w:val="00CF1ECC"/>
    <w:rsid w:val="00CF2272"/>
    <w:rsid w:val="00CF2460"/>
    <w:rsid w:val="00CF2BFC"/>
    <w:rsid w:val="00CF2E66"/>
    <w:rsid w:val="00CF32AF"/>
    <w:rsid w:val="00CF3AFF"/>
    <w:rsid w:val="00CF4033"/>
    <w:rsid w:val="00CF52F5"/>
    <w:rsid w:val="00CF5513"/>
    <w:rsid w:val="00CF56F4"/>
    <w:rsid w:val="00CF590D"/>
    <w:rsid w:val="00CF5D11"/>
    <w:rsid w:val="00CF6B65"/>
    <w:rsid w:val="00CF6D21"/>
    <w:rsid w:val="00CF6E1E"/>
    <w:rsid w:val="00CF6E35"/>
    <w:rsid w:val="00CF7702"/>
    <w:rsid w:val="00D000AA"/>
    <w:rsid w:val="00D00A8F"/>
    <w:rsid w:val="00D013A0"/>
    <w:rsid w:val="00D0152C"/>
    <w:rsid w:val="00D01565"/>
    <w:rsid w:val="00D02145"/>
    <w:rsid w:val="00D032E0"/>
    <w:rsid w:val="00D03A8C"/>
    <w:rsid w:val="00D03FB1"/>
    <w:rsid w:val="00D061B4"/>
    <w:rsid w:val="00D06E63"/>
    <w:rsid w:val="00D06FD8"/>
    <w:rsid w:val="00D07B9B"/>
    <w:rsid w:val="00D07BA5"/>
    <w:rsid w:val="00D07C4E"/>
    <w:rsid w:val="00D10648"/>
    <w:rsid w:val="00D10B0F"/>
    <w:rsid w:val="00D10B75"/>
    <w:rsid w:val="00D10D50"/>
    <w:rsid w:val="00D10E97"/>
    <w:rsid w:val="00D111D8"/>
    <w:rsid w:val="00D117DD"/>
    <w:rsid w:val="00D120B2"/>
    <w:rsid w:val="00D1223E"/>
    <w:rsid w:val="00D12A6F"/>
    <w:rsid w:val="00D13331"/>
    <w:rsid w:val="00D13342"/>
    <w:rsid w:val="00D1354F"/>
    <w:rsid w:val="00D13844"/>
    <w:rsid w:val="00D1456C"/>
    <w:rsid w:val="00D14DC7"/>
    <w:rsid w:val="00D150BC"/>
    <w:rsid w:val="00D16051"/>
    <w:rsid w:val="00D162A4"/>
    <w:rsid w:val="00D167E3"/>
    <w:rsid w:val="00D179D9"/>
    <w:rsid w:val="00D17BD1"/>
    <w:rsid w:val="00D20282"/>
    <w:rsid w:val="00D20516"/>
    <w:rsid w:val="00D20D93"/>
    <w:rsid w:val="00D20E22"/>
    <w:rsid w:val="00D210E2"/>
    <w:rsid w:val="00D220E1"/>
    <w:rsid w:val="00D22140"/>
    <w:rsid w:val="00D227B9"/>
    <w:rsid w:val="00D233CB"/>
    <w:rsid w:val="00D23C8E"/>
    <w:rsid w:val="00D243A3"/>
    <w:rsid w:val="00D24819"/>
    <w:rsid w:val="00D25278"/>
    <w:rsid w:val="00D25563"/>
    <w:rsid w:val="00D25BB1"/>
    <w:rsid w:val="00D25F41"/>
    <w:rsid w:val="00D26380"/>
    <w:rsid w:val="00D26439"/>
    <w:rsid w:val="00D270C9"/>
    <w:rsid w:val="00D27498"/>
    <w:rsid w:val="00D27A25"/>
    <w:rsid w:val="00D302B8"/>
    <w:rsid w:val="00D3053A"/>
    <w:rsid w:val="00D3060D"/>
    <w:rsid w:val="00D31C12"/>
    <w:rsid w:val="00D31E92"/>
    <w:rsid w:val="00D32029"/>
    <w:rsid w:val="00D32146"/>
    <w:rsid w:val="00D322F6"/>
    <w:rsid w:val="00D32379"/>
    <w:rsid w:val="00D32AA6"/>
    <w:rsid w:val="00D32DFD"/>
    <w:rsid w:val="00D32EC6"/>
    <w:rsid w:val="00D330A2"/>
    <w:rsid w:val="00D330EE"/>
    <w:rsid w:val="00D33308"/>
    <w:rsid w:val="00D3338E"/>
    <w:rsid w:val="00D33B5F"/>
    <w:rsid w:val="00D341AC"/>
    <w:rsid w:val="00D342F2"/>
    <w:rsid w:val="00D3552A"/>
    <w:rsid w:val="00D3567E"/>
    <w:rsid w:val="00D35867"/>
    <w:rsid w:val="00D366AD"/>
    <w:rsid w:val="00D36C73"/>
    <w:rsid w:val="00D36EDF"/>
    <w:rsid w:val="00D3718D"/>
    <w:rsid w:val="00D37371"/>
    <w:rsid w:val="00D375AF"/>
    <w:rsid w:val="00D37BE8"/>
    <w:rsid w:val="00D37C54"/>
    <w:rsid w:val="00D4037F"/>
    <w:rsid w:val="00D40419"/>
    <w:rsid w:val="00D40737"/>
    <w:rsid w:val="00D41308"/>
    <w:rsid w:val="00D423EB"/>
    <w:rsid w:val="00D42EBA"/>
    <w:rsid w:val="00D43E04"/>
    <w:rsid w:val="00D4447F"/>
    <w:rsid w:val="00D44888"/>
    <w:rsid w:val="00D44A8E"/>
    <w:rsid w:val="00D4519E"/>
    <w:rsid w:val="00D4560A"/>
    <w:rsid w:val="00D456D5"/>
    <w:rsid w:val="00D45AB5"/>
    <w:rsid w:val="00D45B2F"/>
    <w:rsid w:val="00D46491"/>
    <w:rsid w:val="00D4654D"/>
    <w:rsid w:val="00D4661D"/>
    <w:rsid w:val="00D468CA"/>
    <w:rsid w:val="00D46BDA"/>
    <w:rsid w:val="00D47138"/>
    <w:rsid w:val="00D474F2"/>
    <w:rsid w:val="00D50A9A"/>
    <w:rsid w:val="00D50DEA"/>
    <w:rsid w:val="00D51070"/>
    <w:rsid w:val="00D5153E"/>
    <w:rsid w:val="00D51C6A"/>
    <w:rsid w:val="00D52351"/>
    <w:rsid w:val="00D52757"/>
    <w:rsid w:val="00D531F3"/>
    <w:rsid w:val="00D53DE0"/>
    <w:rsid w:val="00D53E9A"/>
    <w:rsid w:val="00D53F24"/>
    <w:rsid w:val="00D54607"/>
    <w:rsid w:val="00D54CE1"/>
    <w:rsid w:val="00D56911"/>
    <w:rsid w:val="00D56F2F"/>
    <w:rsid w:val="00D570AC"/>
    <w:rsid w:val="00D57314"/>
    <w:rsid w:val="00D575AF"/>
    <w:rsid w:val="00D5761D"/>
    <w:rsid w:val="00D577F2"/>
    <w:rsid w:val="00D6089B"/>
    <w:rsid w:val="00D61F1B"/>
    <w:rsid w:val="00D62859"/>
    <w:rsid w:val="00D62B39"/>
    <w:rsid w:val="00D63FF1"/>
    <w:rsid w:val="00D641DA"/>
    <w:rsid w:val="00D64458"/>
    <w:rsid w:val="00D64520"/>
    <w:rsid w:val="00D64800"/>
    <w:rsid w:val="00D64BDE"/>
    <w:rsid w:val="00D651E5"/>
    <w:rsid w:val="00D65754"/>
    <w:rsid w:val="00D661AD"/>
    <w:rsid w:val="00D66752"/>
    <w:rsid w:val="00D66780"/>
    <w:rsid w:val="00D66919"/>
    <w:rsid w:val="00D66A61"/>
    <w:rsid w:val="00D66CDF"/>
    <w:rsid w:val="00D66D9D"/>
    <w:rsid w:val="00D67695"/>
    <w:rsid w:val="00D6780E"/>
    <w:rsid w:val="00D67E9C"/>
    <w:rsid w:val="00D707EA"/>
    <w:rsid w:val="00D70896"/>
    <w:rsid w:val="00D70940"/>
    <w:rsid w:val="00D711CE"/>
    <w:rsid w:val="00D71895"/>
    <w:rsid w:val="00D72030"/>
    <w:rsid w:val="00D72EEE"/>
    <w:rsid w:val="00D733C1"/>
    <w:rsid w:val="00D73802"/>
    <w:rsid w:val="00D73A45"/>
    <w:rsid w:val="00D74674"/>
    <w:rsid w:val="00D752E2"/>
    <w:rsid w:val="00D75B5B"/>
    <w:rsid w:val="00D75CA6"/>
    <w:rsid w:val="00D76468"/>
    <w:rsid w:val="00D76A0E"/>
    <w:rsid w:val="00D7740D"/>
    <w:rsid w:val="00D802EF"/>
    <w:rsid w:val="00D8070F"/>
    <w:rsid w:val="00D80891"/>
    <w:rsid w:val="00D80A22"/>
    <w:rsid w:val="00D8191A"/>
    <w:rsid w:val="00D81AF3"/>
    <w:rsid w:val="00D81B8C"/>
    <w:rsid w:val="00D82632"/>
    <w:rsid w:val="00D826A8"/>
    <w:rsid w:val="00D827AB"/>
    <w:rsid w:val="00D82ADC"/>
    <w:rsid w:val="00D82CBF"/>
    <w:rsid w:val="00D83444"/>
    <w:rsid w:val="00D8396E"/>
    <w:rsid w:val="00D83E12"/>
    <w:rsid w:val="00D83E8D"/>
    <w:rsid w:val="00D841B0"/>
    <w:rsid w:val="00D84306"/>
    <w:rsid w:val="00D843F9"/>
    <w:rsid w:val="00D84411"/>
    <w:rsid w:val="00D8454F"/>
    <w:rsid w:val="00D84637"/>
    <w:rsid w:val="00D84721"/>
    <w:rsid w:val="00D84C4C"/>
    <w:rsid w:val="00D84D1C"/>
    <w:rsid w:val="00D84DA2"/>
    <w:rsid w:val="00D855F5"/>
    <w:rsid w:val="00D856AA"/>
    <w:rsid w:val="00D86434"/>
    <w:rsid w:val="00D870B1"/>
    <w:rsid w:val="00D87505"/>
    <w:rsid w:val="00D9089A"/>
    <w:rsid w:val="00D908EC"/>
    <w:rsid w:val="00D90F1A"/>
    <w:rsid w:val="00D91005"/>
    <w:rsid w:val="00D91A17"/>
    <w:rsid w:val="00D91A81"/>
    <w:rsid w:val="00D92207"/>
    <w:rsid w:val="00D92C5E"/>
    <w:rsid w:val="00D93480"/>
    <w:rsid w:val="00D936F6"/>
    <w:rsid w:val="00D93790"/>
    <w:rsid w:val="00D9464C"/>
    <w:rsid w:val="00D94D70"/>
    <w:rsid w:val="00D94EE2"/>
    <w:rsid w:val="00D95251"/>
    <w:rsid w:val="00D95455"/>
    <w:rsid w:val="00D95D59"/>
    <w:rsid w:val="00D95F4A"/>
    <w:rsid w:val="00D96531"/>
    <w:rsid w:val="00D96547"/>
    <w:rsid w:val="00D96B6B"/>
    <w:rsid w:val="00D96BD4"/>
    <w:rsid w:val="00DA018B"/>
    <w:rsid w:val="00DA0767"/>
    <w:rsid w:val="00DA0FC7"/>
    <w:rsid w:val="00DA1CBA"/>
    <w:rsid w:val="00DA233B"/>
    <w:rsid w:val="00DA360D"/>
    <w:rsid w:val="00DA43E1"/>
    <w:rsid w:val="00DA5784"/>
    <w:rsid w:val="00DA57A2"/>
    <w:rsid w:val="00DA57FF"/>
    <w:rsid w:val="00DA6DF8"/>
    <w:rsid w:val="00DA715D"/>
    <w:rsid w:val="00DB00E6"/>
    <w:rsid w:val="00DB012A"/>
    <w:rsid w:val="00DB03AB"/>
    <w:rsid w:val="00DB105F"/>
    <w:rsid w:val="00DB12F4"/>
    <w:rsid w:val="00DB1C57"/>
    <w:rsid w:val="00DB1FF7"/>
    <w:rsid w:val="00DB2627"/>
    <w:rsid w:val="00DB2631"/>
    <w:rsid w:val="00DB2B21"/>
    <w:rsid w:val="00DB2ED8"/>
    <w:rsid w:val="00DB3698"/>
    <w:rsid w:val="00DB4175"/>
    <w:rsid w:val="00DB4ED1"/>
    <w:rsid w:val="00DB5B33"/>
    <w:rsid w:val="00DB68DD"/>
    <w:rsid w:val="00DB6DA2"/>
    <w:rsid w:val="00DC0637"/>
    <w:rsid w:val="00DC0D98"/>
    <w:rsid w:val="00DC0E9A"/>
    <w:rsid w:val="00DC0FD6"/>
    <w:rsid w:val="00DC147E"/>
    <w:rsid w:val="00DC1D48"/>
    <w:rsid w:val="00DC2D85"/>
    <w:rsid w:val="00DC318A"/>
    <w:rsid w:val="00DC3212"/>
    <w:rsid w:val="00DC42E0"/>
    <w:rsid w:val="00DC456A"/>
    <w:rsid w:val="00DC45FF"/>
    <w:rsid w:val="00DC460D"/>
    <w:rsid w:val="00DC4744"/>
    <w:rsid w:val="00DC551C"/>
    <w:rsid w:val="00DC5B38"/>
    <w:rsid w:val="00DC5B3C"/>
    <w:rsid w:val="00DC5BBA"/>
    <w:rsid w:val="00DC5EDD"/>
    <w:rsid w:val="00DC65DC"/>
    <w:rsid w:val="00DC6647"/>
    <w:rsid w:val="00DC6DF9"/>
    <w:rsid w:val="00DC70B5"/>
    <w:rsid w:val="00DC717A"/>
    <w:rsid w:val="00DC76ED"/>
    <w:rsid w:val="00DC7C47"/>
    <w:rsid w:val="00DD0236"/>
    <w:rsid w:val="00DD0375"/>
    <w:rsid w:val="00DD03DB"/>
    <w:rsid w:val="00DD0566"/>
    <w:rsid w:val="00DD1319"/>
    <w:rsid w:val="00DD18BC"/>
    <w:rsid w:val="00DD191B"/>
    <w:rsid w:val="00DD1C66"/>
    <w:rsid w:val="00DD25D9"/>
    <w:rsid w:val="00DD298F"/>
    <w:rsid w:val="00DD2A0C"/>
    <w:rsid w:val="00DD2C60"/>
    <w:rsid w:val="00DD2F83"/>
    <w:rsid w:val="00DD33D4"/>
    <w:rsid w:val="00DD33F4"/>
    <w:rsid w:val="00DD3EC1"/>
    <w:rsid w:val="00DD42E1"/>
    <w:rsid w:val="00DD4484"/>
    <w:rsid w:val="00DD4CC9"/>
    <w:rsid w:val="00DD637C"/>
    <w:rsid w:val="00DD6783"/>
    <w:rsid w:val="00DD683F"/>
    <w:rsid w:val="00DD6A54"/>
    <w:rsid w:val="00DD7127"/>
    <w:rsid w:val="00DD71E4"/>
    <w:rsid w:val="00DD72A7"/>
    <w:rsid w:val="00DD73AB"/>
    <w:rsid w:val="00DE02AE"/>
    <w:rsid w:val="00DE0526"/>
    <w:rsid w:val="00DE0DA2"/>
    <w:rsid w:val="00DE0DB8"/>
    <w:rsid w:val="00DE17C8"/>
    <w:rsid w:val="00DE21EE"/>
    <w:rsid w:val="00DE2255"/>
    <w:rsid w:val="00DE2544"/>
    <w:rsid w:val="00DE29DC"/>
    <w:rsid w:val="00DE29E4"/>
    <w:rsid w:val="00DE2CCC"/>
    <w:rsid w:val="00DE2E58"/>
    <w:rsid w:val="00DE3A84"/>
    <w:rsid w:val="00DE418F"/>
    <w:rsid w:val="00DE4556"/>
    <w:rsid w:val="00DE4A72"/>
    <w:rsid w:val="00DE4F97"/>
    <w:rsid w:val="00DE5233"/>
    <w:rsid w:val="00DE5361"/>
    <w:rsid w:val="00DE539A"/>
    <w:rsid w:val="00DE5873"/>
    <w:rsid w:val="00DE5BBC"/>
    <w:rsid w:val="00DE5D7F"/>
    <w:rsid w:val="00DE5DAC"/>
    <w:rsid w:val="00DE62C6"/>
    <w:rsid w:val="00DE67FB"/>
    <w:rsid w:val="00DE6D49"/>
    <w:rsid w:val="00DE73AA"/>
    <w:rsid w:val="00DF03E9"/>
    <w:rsid w:val="00DF043C"/>
    <w:rsid w:val="00DF13CD"/>
    <w:rsid w:val="00DF1D30"/>
    <w:rsid w:val="00DF1F5F"/>
    <w:rsid w:val="00DF1FBF"/>
    <w:rsid w:val="00DF25A7"/>
    <w:rsid w:val="00DF2DD8"/>
    <w:rsid w:val="00DF329C"/>
    <w:rsid w:val="00DF32C8"/>
    <w:rsid w:val="00DF39F7"/>
    <w:rsid w:val="00DF3D9A"/>
    <w:rsid w:val="00DF3DEF"/>
    <w:rsid w:val="00DF3E2F"/>
    <w:rsid w:val="00DF42AF"/>
    <w:rsid w:val="00DF42E5"/>
    <w:rsid w:val="00DF51AF"/>
    <w:rsid w:val="00DF5250"/>
    <w:rsid w:val="00DF58B3"/>
    <w:rsid w:val="00DF5942"/>
    <w:rsid w:val="00DF5F46"/>
    <w:rsid w:val="00DF6269"/>
    <w:rsid w:val="00DF6279"/>
    <w:rsid w:val="00DF6573"/>
    <w:rsid w:val="00DF6B90"/>
    <w:rsid w:val="00DF74BD"/>
    <w:rsid w:val="00DF7EF0"/>
    <w:rsid w:val="00E005CE"/>
    <w:rsid w:val="00E00B7B"/>
    <w:rsid w:val="00E0118B"/>
    <w:rsid w:val="00E01918"/>
    <w:rsid w:val="00E01C96"/>
    <w:rsid w:val="00E0258B"/>
    <w:rsid w:val="00E02C2A"/>
    <w:rsid w:val="00E03050"/>
    <w:rsid w:val="00E0318E"/>
    <w:rsid w:val="00E0360C"/>
    <w:rsid w:val="00E03887"/>
    <w:rsid w:val="00E0389F"/>
    <w:rsid w:val="00E039AD"/>
    <w:rsid w:val="00E03A8B"/>
    <w:rsid w:val="00E03D09"/>
    <w:rsid w:val="00E03D12"/>
    <w:rsid w:val="00E04032"/>
    <w:rsid w:val="00E04365"/>
    <w:rsid w:val="00E0437C"/>
    <w:rsid w:val="00E043A8"/>
    <w:rsid w:val="00E04643"/>
    <w:rsid w:val="00E04CC9"/>
    <w:rsid w:val="00E055D3"/>
    <w:rsid w:val="00E056C1"/>
    <w:rsid w:val="00E060EA"/>
    <w:rsid w:val="00E06D33"/>
    <w:rsid w:val="00E10561"/>
    <w:rsid w:val="00E10B29"/>
    <w:rsid w:val="00E1118D"/>
    <w:rsid w:val="00E11736"/>
    <w:rsid w:val="00E1189E"/>
    <w:rsid w:val="00E119F5"/>
    <w:rsid w:val="00E11AD1"/>
    <w:rsid w:val="00E11CF9"/>
    <w:rsid w:val="00E133BC"/>
    <w:rsid w:val="00E13624"/>
    <w:rsid w:val="00E13787"/>
    <w:rsid w:val="00E1409A"/>
    <w:rsid w:val="00E141D5"/>
    <w:rsid w:val="00E1523A"/>
    <w:rsid w:val="00E152CC"/>
    <w:rsid w:val="00E1555F"/>
    <w:rsid w:val="00E15633"/>
    <w:rsid w:val="00E157C1"/>
    <w:rsid w:val="00E15874"/>
    <w:rsid w:val="00E16116"/>
    <w:rsid w:val="00E161BB"/>
    <w:rsid w:val="00E16415"/>
    <w:rsid w:val="00E1679A"/>
    <w:rsid w:val="00E169FB"/>
    <w:rsid w:val="00E17A5B"/>
    <w:rsid w:val="00E204AD"/>
    <w:rsid w:val="00E21142"/>
    <w:rsid w:val="00E21C17"/>
    <w:rsid w:val="00E22032"/>
    <w:rsid w:val="00E22450"/>
    <w:rsid w:val="00E23305"/>
    <w:rsid w:val="00E24377"/>
    <w:rsid w:val="00E24C8B"/>
    <w:rsid w:val="00E258EF"/>
    <w:rsid w:val="00E25EF8"/>
    <w:rsid w:val="00E260F0"/>
    <w:rsid w:val="00E264BF"/>
    <w:rsid w:val="00E278E3"/>
    <w:rsid w:val="00E2797B"/>
    <w:rsid w:val="00E27A83"/>
    <w:rsid w:val="00E27F87"/>
    <w:rsid w:val="00E3036F"/>
    <w:rsid w:val="00E305A7"/>
    <w:rsid w:val="00E31108"/>
    <w:rsid w:val="00E31379"/>
    <w:rsid w:val="00E31B00"/>
    <w:rsid w:val="00E3200E"/>
    <w:rsid w:val="00E326A3"/>
    <w:rsid w:val="00E32D1A"/>
    <w:rsid w:val="00E32D3E"/>
    <w:rsid w:val="00E330E7"/>
    <w:rsid w:val="00E332B5"/>
    <w:rsid w:val="00E336EA"/>
    <w:rsid w:val="00E33766"/>
    <w:rsid w:val="00E33E00"/>
    <w:rsid w:val="00E33F68"/>
    <w:rsid w:val="00E34547"/>
    <w:rsid w:val="00E34DE0"/>
    <w:rsid w:val="00E35340"/>
    <w:rsid w:val="00E35684"/>
    <w:rsid w:val="00E359A4"/>
    <w:rsid w:val="00E35ADB"/>
    <w:rsid w:val="00E3639D"/>
    <w:rsid w:val="00E36860"/>
    <w:rsid w:val="00E36915"/>
    <w:rsid w:val="00E36DF5"/>
    <w:rsid w:val="00E373C0"/>
    <w:rsid w:val="00E41120"/>
    <w:rsid w:val="00E41318"/>
    <w:rsid w:val="00E423E0"/>
    <w:rsid w:val="00E42854"/>
    <w:rsid w:val="00E42C59"/>
    <w:rsid w:val="00E4418F"/>
    <w:rsid w:val="00E449A6"/>
    <w:rsid w:val="00E44F1B"/>
    <w:rsid w:val="00E45791"/>
    <w:rsid w:val="00E46EC2"/>
    <w:rsid w:val="00E4735F"/>
    <w:rsid w:val="00E479D8"/>
    <w:rsid w:val="00E47A96"/>
    <w:rsid w:val="00E47CE1"/>
    <w:rsid w:val="00E504EA"/>
    <w:rsid w:val="00E510DB"/>
    <w:rsid w:val="00E510F5"/>
    <w:rsid w:val="00E51148"/>
    <w:rsid w:val="00E51180"/>
    <w:rsid w:val="00E517EB"/>
    <w:rsid w:val="00E52067"/>
    <w:rsid w:val="00E52543"/>
    <w:rsid w:val="00E52670"/>
    <w:rsid w:val="00E53264"/>
    <w:rsid w:val="00E5330F"/>
    <w:rsid w:val="00E53607"/>
    <w:rsid w:val="00E53635"/>
    <w:rsid w:val="00E53AC6"/>
    <w:rsid w:val="00E53BB2"/>
    <w:rsid w:val="00E54446"/>
    <w:rsid w:val="00E54760"/>
    <w:rsid w:val="00E54E99"/>
    <w:rsid w:val="00E5591A"/>
    <w:rsid w:val="00E55D12"/>
    <w:rsid w:val="00E56BFE"/>
    <w:rsid w:val="00E56C14"/>
    <w:rsid w:val="00E60A63"/>
    <w:rsid w:val="00E61F1E"/>
    <w:rsid w:val="00E621C6"/>
    <w:rsid w:val="00E6223D"/>
    <w:rsid w:val="00E625B3"/>
    <w:rsid w:val="00E62731"/>
    <w:rsid w:val="00E6278E"/>
    <w:rsid w:val="00E62D21"/>
    <w:rsid w:val="00E6323D"/>
    <w:rsid w:val="00E63695"/>
    <w:rsid w:val="00E63956"/>
    <w:rsid w:val="00E63C09"/>
    <w:rsid w:val="00E640C3"/>
    <w:rsid w:val="00E64471"/>
    <w:rsid w:val="00E64905"/>
    <w:rsid w:val="00E664A5"/>
    <w:rsid w:val="00E664F4"/>
    <w:rsid w:val="00E667F9"/>
    <w:rsid w:val="00E702DD"/>
    <w:rsid w:val="00E7071E"/>
    <w:rsid w:val="00E7079B"/>
    <w:rsid w:val="00E7085B"/>
    <w:rsid w:val="00E70E51"/>
    <w:rsid w:val="00E712C2"/>
    <w:rsid w:val="00E719EA"/>
    <w:rsid w:val="00E71D03"/>
    <w:rsid w:val="00E726D4"/>
    <w:rsid w:val="00E72A85"/>
    <w:rsid w:val="00E732D3"/>
    <w:rsid w:val="00E73AB6"/>
    <w:rsid w:val="00E74B78"/>
    <w:rsid w:val="00E751CD"/>
    <w:rsid w:val="00E75297"/>
    <w:rsid w:val="00E75642"/>
    <w:rsid w:val="00E75802"/>
    <w:rsid w:val="00E764CD"/>
    <w:rsid w:val="00E77464"/>
    <w:rsid w:val="00E77700"/>
    <w:rsid w:val="00E77A38"/>
    <w:rsid w:val="00E802DB"/>
    <w:rsid w:val="00E80BB0"/>
    <w:rsid w:val="00E80FED"/>
    <w:rsid w:val="00E8100A"/>
    <w:rsid w:val="00E81077"/>
    <w:rsid w:val="00E8108A"/>
    <w:rsid w:val="00E82E3C"/>
    <w:rsid w:val="00E832FD"/>
    <w:rsid w:val="00E835ED"/>
    <w:rsid w:val="00E83B4B"/>
    <w:rsid w:val="00E842F3"/>
    <w:rsid w:val="00E844FB"/>
    <w:rsid w:val="00E8476B"/>
    <w:rsid w:val="00E84D09"/>
    <w:rsid w:val="00E84F0F"/>
    <w:rsid w:val="00E85907"/>
    <w:rsid w:val="00E859CD"/>
    <w:rsid w:val="00E85A81"/>
    <w:rsid w:val="00E85CC4"/>
    <w:rsid w:val="00E866C0"/>
    <w:rsid w:val="00E86922"/>
    <w:rsid w:val="00E86957"/>
    <w:rsid w:val="00E872CF"/>
    <w:rsid w:val="00E87CBE"/>
    <w:rsid w:val="00E90C60"/>
    <w:rsid w:val="00E90C8A"/>
    <w:rsid w:val="00E91027"/>
    <w:rsid w:val="00E914BB"/>
    <w:rsid w:val="00E92F0C"/>
    <w:rsid w:val="00E93064"/>
    <w:rsid w:val="00E9346C"/>
    <w:rsid w:val="00E93A45"/>
    <w:rsid w:val="00E9424F"/>
    <w:rsid w:val="00E948C7"/>
    <w:rsid w:val="00E953AD"/>
    <w:rsid w:val="00E968F2"/>
    <w:rsid w:val="00E96A44"/>
    <w:rsid w:val="00E97099"/>
    <w:rsid w:val="00E9719A"/>
    <w:rsid w:val="00E971B4"/>
    <w:rsid w:val="00E97A59"/>
    <w:rsid w:val="00EA0262"/>
    <w:rsid w:val="00EA0BCD"/>
    <w:rsid w:val="00EA18C2"/>
    <w:rsid w:val="00EA19F0"/>
    <w:rsid w:val="00EA1CA8"/>
    <w:rsid w:val="00EA25A5"/>
    <w:rsid w:val="00EA32C6"/>
    <w:rsid w:val="00EA367A"/>
    <w:rsid w:val="00EA418A"/>
    <w:rsid w:val="00EA4550"/>
    <w:rsid w:val="00EA4734"/>
    <w:rsid w:val="00EA7D21"/>
    <w:rsid w:val="00EA7D2D"/>
    <w:rsid w:val="00EA7E17"/>
    <w:rsid w:val="00EB0533"/>
    <w:rsid w:val="00EB069F"/>
    <w:rsid w:val="00EB0D78"/>
    <w:rsid w:val="00EB10C8"/>
    <w:rsid w:val="00EB11BB"/>
    <w:rsid w:val="00EB1387"/>
    <w:rsid w:val="00EB1B1A"/>
    <w:rsid w:val="00EB25C1"/>
    <w:rsid w:val="00EB2BDA"/>
    <w:rsid w:val="00EB3611"/>
    <w:rsid w:val="00EB45AE"/>
    <w:rsid w:val="00EB4B16"/>
    <w:rsid w:val="00EB4CCC"/>
    <w:rsid w:val="00EB5351"/>
    <w:rsid w:val="00EB74A0"/>
    <w:rsid w:val="00EB78C7"/>
    <w:rsid w:val="00EC0437"/>
    <w:rsid w:val="00EC1D33"/>
    <w:rsid w:val="00EC20DE"/>
    <w:rsid w:val="00EC22F9"/>
    <w:rsid w:val="00EC25A6"/>
    <w:rsid w:val="00EC32FB"/>
    <w:rsid w:val="00EC3A48"/>
    <w:rsid w:val="00EC3E60"/>
    <w:rsid w:val="00EC4393"/>
    <w:rsid w:val="00EC49DB"/>
    <w:rsid w:val="00EC4B3A"/>
    <w:rsid w:val="00EC4FA1"/>
    <w:rsid w:val="00EC50ED"/>
    <w:rsid w:val="00EC60F7"/>
    <w:rsid w:val="00EC65C7"/>
    <w:rsid w:val="00EC6605"/>
    <w:rsid w:val="00EC674E"/>
    <w:rsid w:val="00EC6B4C"/>
    <w:rsid w:val="00EC7480"/>
    <w:rsid w:val="00EC7E2D"/>
    <w:rsid w:val="00ED01F4"/>
    <w:rsid w:val="00ED0FC5"/>
    <w:rsid w:val="00ED1402"/>
    <w:rsid w:val="00ED1749"/>
    <w:rsid w:val="00ED1803"/>
    <w:rsid w:val="00ED2286"/>
    <w:rsid w:val="00ED2584"/>
    <w:rsid w:val="00ED3340"/>
    <w:rsid w:val="00ED3942"/>
    <w:rsid w:val="00ED49C7"/>
    <w:rsid w:val="00ED5A93"/>
    <w:rsid w:val="00ED5C61"/>
    <w:rsid w:val="00ED6748"/>
    <w:rsid w:val="00ED6CD1"/>
    <w:rsid w:val="00ED7E70"/>
    <w:rsid w:val="00EE02F3"/>
    <w:rsid w:val="00EE04DD"/>
    <w:rsid w:val="00EE058D"/>
    <w:rsid w:val="00EE05F1"/>
    <w:rsid w:val="00EE0B25"/>
    <w:rsid w:val="00EE0C68"/>
    <w:rsid w:val="00EE0F44"/>
    <w:rsid w:val="00EE17BA"/>
    <w:rsid w:val="00EE1A16"/>
    <w:rsid w:val="00EE257F"/>
    <w:rsid w:val="00EE2894"/>
    <w:rsid w:val="00EE31F8"/>
    <w:rsid w:val="00EE379A"/>
    <w:rsid w:val="00EE417E"/>
    <w:rsid w:val="00EE4AA5"/>
    <w:rsid w:val="00EE4B70"/>
    <w:rsid w:val="00EE510B"/>
    <w:rsid w:val="00EE582C"/>
    <w:rsid w:val="00EE5AA3"/>
    <w:rsid w:val="00EE6B71"/>
    <w:rsid w:val="00EE7656"/>
    <w:rsid w:val="00EE772B"/>
    <w:rsid w:val="00EE77C0"/>
    <w:rsid w:val="00EE7A4C"/>
    <w:rsid w:val="00EF0153"/>
    <w:rsid w:val="00EF0E02"/>
    <w:rsid w:val="00EF1617"/>
    <w:rsid w:val="00EF187D"/>
    <w:rsid w:val="00EF33D2"/>
    <w:rsid w:val="00EF3FD5"/>
    <w:rsid w:val="00EF404C"/>
    <w:rsid w:val="00EF44B8"/>
    <w:rsid w:val="00EF4836"/>
    <w:rsid w:val="00EF4EC0"/>
    <w:rsid w:val="00EF4EC6"/>
    <w:rsid w:val="00EF5223"/>
    <w:rsid w:val="00EF572E"/>
    <w:rsid w:val="00EF58AF"/>
    <w:rsid w:val="00EF677B"/>
    <w:rsid w:val="00EF72EF"/>
    <w:rsid w:val="00EF7A80"/>
    <w:rsid w:val="00EF7BB2"/>
    <w:rsid w:val="00EF7C48"/>
    <w:rsid w:val="00F00D82"/>
    <w:rsid w:val="00F012F3"/>
    <w:rsid w:val="00F01931"/>
    <w:rsid w:val="00F02006"/>
    <w:rsid w:val="00F02032"/>
    <w:rsid w:val="00F025BE"/>
    <w:rsid w:val="00F02D2E"/>
    <w:rsid w:val="00F03D7B"/>
    <w:rsid w:val="00F04E73"/>
    <w:rsid w:val="00F0516A"/>
    <w:rsid w:val="00F065EF"/>
    <w:rsid w:val="00F06C06"/>
    <w:rsid w:val="00F06D80"/>
    <w:rsid w:val="00F0718C"/>
    <w:rsid w:val="00F075E4"/>
    <w:rsid w:val="00F07ED0"/>
    <w:rsid w:val="00F07F77"/>
    <w:rsid w:val="00F10274"/>
    <w:rsid w:val="00F103E1"/>
    <w:rsid w:val="00F109DE"/>
    <w:rsid w:val="00F11003"/>
    <w:rsid w:val="00F11A30"/>
    <w:rsid w:val="00F12733"/>
    <w:rsid w:val="00F12AFF"/>
    <w:rsid w:val="00F12BC0"/>
    <w:rsid w:val="00F12DA3"/>
    <w:rsid w:val="00F12DB5"/>
    <w:rsid w:val="00F137FC"/>
    <w:rsid w:val="00F13EA8"/>
    <w:rsid w:val="00F14D18"/>
    <w:rsid w:val="00F14D4D"/>
    <w:rsid w:val="00F14E17"/>
    <w:rsid w:val="00F14EFA"/>
    <w:rsid w:val="00F16FD4"/>
    <w:rsid w:val="00F17137"/>
    <w:rsid w:val="00F17687"/>
    <w:rsid w:val="00F2058D"/>
    <w:rsid w:val="00F20F46"/>
    <w:rsid w:val="00F21113"/>
    <w:rsid w:val="00F215BE"/>
    <w:rsid w:val="00F21DC6"/>
    <w:rsid w:val="00F2206C"/>
    <w:rsid w:val="00F22BB1"/>
    <w:rsid w:val="00F23634"/>
    <w:rsid w:val="00F238F6"/>
    <w:rsid w:val="00F23E58"/>
    <w:rsid w:val="00F23E79"/>
    <w:rsid w:val="00F240CE"/>
    <w:rsid w:val="00F24942"/>
    <w:rsid w:val="00F24B45"/>
    <w:rsid w:val="00F24D81"/>
    <w:rsid w:val="00F254D7"/>
    <w:rsid w:val="00F25859"/>
    <w:rsid w:val="00F261F6"/>
    <w:rsid w:val="00F2672F"/>
    <w:rsid w:val="00F26A7E"/>
    <w:rsid w:val="00F2714A"/>
    <w:rsid w:val="00F3044E"/>
    <w:rsid w:val="00F311FF"/>
    <w:rsid w:val="00F3126E"/>
    <w:rsid w:val="00F31395"/>
    <w:rsid w:val="00F31A53"/>
    <w:rsid w:val="00F31AB8"/>
    <w:rsid w:val="00F320F3"/>
    <w:rsid w:val="00F32C90"/>
    <w:rsid w:val="00F33B7D"/>
    <w:rsid w:val="00F341FE"/>
    <w:rsid w:val="00F34857"/>
    <w:rsid w:val="00F353CA"/>
    <w:rsid w:val="00F35511"/>
    <w:rsid w:val="00F35530"/>
    <w:rsid w:val="00F357BA"/>
    <w:rsid w:val="00F36050"/>
    <w:rsid w:val="00F36723"/>
    <w:rsid w:val="00F36D98"/>
    <w:rsid w:val="00F40CCB"/>
    <w:rsid w:val="00F40CF1"/>
    <w:rsid w:val="00F4157F"/>
    <w:rsid w:val="00F41638"/>
    <w:rsid w:val="00F41C10"/>
    <w:rsid w:val="00F41E86"/>
    <w:rsid w:val="00F423A2"/>
    <w:rsid w:val="00F425C5"/>
    <w:rsid w:val="00F42F4C"/>
    <w:rsid w:val="00F43F10"/>
    <w:rsid w:val="00F443AB"/>
    <w:rsid w:val="00F445FB"/>
    <w:rsid w:val="00F44F5D"/>
    <w:rsid w:val="00F44F9D"/>
    <w:rsid w:val="00F455CF"/>
    <w:rsid w:val="00F45880"/>
    <w:rsid w:val="00F458B0"/>
    <w:rsid w:val="00F45A62"/>
    <w:rsid w:val="00F45DF0"/>
    <w:rsid w:val="00F45E85"/>
    <w:rsid w:val="00F46B93"/>
    <w:rsid w:val="00F46C01"/>
    <w:rsid w:val="00F46EBD"/>
    <w:rsid w:val="00F47205"/>
    <w:rsid w:val="00F47328"/>
    <w:rsid w:val="00F47D44"/>
    <w:rsid w:val="00F513E2"/>
    <w:rsid w:val="00F51DB1"/>
    <w:rsid w:val="00F51FC0"/>
    <w:rsid w:val="00F52109"/>
    <w:rsid w:val="00F52498"/>
    <w:rsid w:val="00F52543"/>
    <w:rsid w:val="00F52683"/>
    <w:rsid w:val="00F52751"/>
    <w:rsid w:val="00F52973"/>
    <w:rsid w:val="00F52D2D"/>
    <w:rsid w:val="00F5343D"/>
    <w:rsid w:val="00F535D7"/>
    <w:rsid w:val="00F5369D"/>
    <w:rsid w:val="00F53C9A"/>
    <w:rsid w:val="00F5478F"/>
    <w:rsid w:val="00F54BF3"/>
    <w:rsid w:val="00F54C7E"/>
    <w:rsid w:val="00F5581D"/>
    <w:rsid w:val="00F5643A"/>
    <w:rsid w:val="00F56BD6"/>
    <w:rsid w:val="00F56D36"/>
    <w:rsid w:val="00F57742"/>
    <w:rsid w:val="00F60695"/>
    <w:rsid w:val="00F60F33"/>
    <w:rsid w:val="00F61BD0"/>
    <w:rsid w:val="00F61F25"/>
    <w:rsid w:val="00F626C2"/>
    <w:rsid w:val="00F62A61"/>
    <w:rsid w:val="00F62DFD"/>
    <w:rsid w:val="00F62FA4"/>
    <w:rsid w:val="00F6332F"/>
    <w:rsid w:val="00F63657"/>
    <w:rsid w:val="00F63C70"/>
    <w:rsid w:val="00F64261"/>
    <w:rsid w:val="00F642E1"/>
    <w:rsid w:val="00F64F1E"/>
    <w:rsid w:val="00F651FB"/>
    <w:rsid w:val="00F651FD"/>
    <w:rsid w:val="00F667DB"/>
    <w:rsid w:val="00F66F8B"/>
    <w:rsid w:val="00F66FF7"/>
    <w:rsid w:val="00F67169"/>
    <w:rsid w:val="00F673C6"/>
    <w:rsid w:val="00F67ABF"/>
    <w:rsid w:val="00F67C5B"/>
    <w:rsid w:val="00F70399"/>
    <w:rsid w:val="00F70586"/>
    <w:rsid w:val="00F70A28"/>
    <w:rsid w:val="00F717E7"/>
    <w:rsid w:val="00F71C14"/>
    <w:rsid w:val="00F7251E"/>
    <w:rsid w:val="00F72AB1"/>
    <w:rsid w:val="00F72AFF"/>
    <w:rsid w:val="00F72CBB"/>
    <w:rsid w:val="00F73C0A"/>
    <w:rsid w:val="00F73C8B"/>
    <w:rsid w:val="00F74D61"/>
    <w:rsid w:val="00F752E5"/>
    <w:rsid w:val="00F76474"/>
    <w:rsid w:val="00F7735C"/>
    <w:rsid w:val="00F774D2"/>
    <w:rsid w:val="00F775EB"/>
    <w:rsid w:val="00F776C3"/>
    <w:rsid w:val="00F77F00"/>
    <w:rsid w:val="00F80E2B"/>
    <w:rsid w:val="00F81041"/>
    <w:rsid w:val="00F82CD9"/>
    <w:rsid w:val="00F8304A"/>
    <w:rsid w:val="00F8348F"/>
    <w:rsid w:val="00F837BE"/>
    <w:rsid w:val="00F8505C"/>
    <w:rsid w:val="00F85331"/>
    <w:rsid w:val="00F85388"/>
    <w:rsid w:val="00F865D7"/>
    <w:rsid w:val="00F86D5D"/>
    <w:rsid w:val="00F86E06"/>
    <w:rsid w:val="00F87186"/>
    <w:rsid w:val="00F871B1"/>
    <w:rsid w:val="00F8783C"/>
    <w:rsid w:val="00F879BC"/>
    <w:rsid w:val="00F87DBE"/>
    <w:rsid w:val="00F90B40"/>
    <w:rsid w:val="00F90E62"/>
    <w:rsid w:val="00F90FA9"/>
    <w:rsid w:val="00F91259"/>
    <w:rsid w:val="00F91313"/>
    <w:rsid w:val="00F91887"/>
    <w:rsid w:val="00F91F7C"/>
    <w:rsid w:val="00F9223D"/>
    <w:rsid w:val="00F92FCA"/>
    <w:rsid w:val="00F94F0C"/>
    <w:rsid w:val="00F94F80"/>
    <w:rsid w:val="00F951AA"/>
    <w:rsid w:val="00F952B5"/>
    <w:rsid w:val="00F955E4"/>
    <w:rsid w:val="00F956BF"/>
    <w:rsid w:val="00F95C9A"/>
    <w:rsid w:val="00F965DC"/>
    <w:rsid w:val="00F96C23"/>
    <w:rsid w:val="00F9722B"/>
    <w:rsid w:val="00F97348"/>
    <w:rsid w:val="00F975BE"/>
    <w:rsid w:val="00F9765E"/>
    <w:rsid w:val="00F976E2"/>
    <w:rsid w:val="00F97862"/>
    <w:rsid w:val="00F978B3"/>
    <w:rsid w:val="00FA00CC"/>
    <w:rsid w:val="00FA0228"/>
    <w:rsid w:val="00FA0256"/>
    <w:rsid w:val="00FA0763"/>
    <w:rsid w:val="00FA0AE5"/>
    <w:rsid w:val="00FA0FE5"/>
    <w:rsid w:val="00FA108B"/>
    <w:rsid w:val="00FA1D59"/>
    <w:rsid w:val="00FA1E71"/>
    <w:rsid w:val="00FA28FB"/>
    <w:rsid w:val="00FA2D59"/>
    <w:rsid w:val="00FA2DD8"/>
    <w:rsid w:val="00FA3C79"/>
    <w:rsid w:val="00FA3DC8"/>
    <w:rsid w:val="00FA511A"/>
    <w:rsid w:val="00FA554C"/>
    <w:rsid w:val="00FA55BC"/>
    <w:rsid w:val="00FA5AC0"/>
    <w:rsid w:val="00FA5BCF"/>
    <w:rsid w:val="00FA6096"/>
    <w:rsid w:val="00FA6F89"/>
    <w:rsid w:val="00FA74CD"/>
    <w:rsid w:val="00FA7661"/>
    <w:rsid w:val="00FA76AA"/>
    <w:rsid w:val="00FA7B19"/>
    <w:rsid w:val="00FB0762"/>
    <w:rsid w:val="00FB13A7"/>
    <w:rsid w:val="00FB1806"/>
    <w:rsid w:val="00FB184C"/>
    <w:rsid w:val="00FB1CBC"/>
    <w:rsid w:val="00FB24A0"/>
    <w:rsid w:val="00FB3513"/>
    <w:rsid w:val="00FB3849"/>
    <w:rsid w:val="00FB3F09"/>
    <w:rsid w:val="00FB4155"/>
    <w:rsid w:val="00FB4507"/>
    <w:rsid w:val="00FB4AF5"/>
    <w:rsid w:val="00FB4CA1"/>
    <w:rsid w:val="00FB4F83"/>
    <w:rsid w:val="00FB6906"/>
    <w:rsid w:val="00FB6AEC"/>
    <w:rsid w:val="00FB6DB5"/>
    <w:rsid w:val="00FB6F4F"/>
    <w:rsid w:val="00FB6F67"/>
    <w:rsid w:val="00FB7396"/>
    <w:rsid w:val="00FB7BE6"/>
    <w:rsid w:val="00FC007E"/>
    <w:rsid w:val="00FC01B8"/>
    <w:rsid w:val="00FC0222"/>
    <w:rsid w:val="00FC0536"/>
    <w:rsid w:val="00FC0881"/>
    <w:rsid w:val="00FC0B6C"/>
    <w:rsid w:val="00FC121F"/>
    <w:rsid w:val="00FC13B4"/>
    <w:rsid w:val="00FC19DC"/>
    <w:rsid w:val="00FC1ABB"/>
    <w:rsid w:val="00FC216E"/>
    <w:rsid w:val="00FC2399"/>
    <w:rsid w:val="00FC2979"/>
    <w:rsid w:val="00FC2B2A"/>
    <w:rsid w:val="00FC3173"/>
    <w:rsid w:val="00FC4330"/>
    <w:rsid w:val="00FC447B"/>
    <w:rsid w:val="00FC4A6B"/>
    <w:rsid w:val="00FC4C68"/>
    <w:rsid w:val="00FC576A"/>
    <w:rsid w:val="00FC591C"/>
    <w:rsid w:val="00FC595B"/>
    <w:rsid w:val="00FC5B42"/>
    <w:rsid w:val="00FC670B"/>
    <w:rsid w:val="00FC6781"/>
    <w:rsid w:val="00FC7A27"/>
    <w:rsid w:val="00FD007E"/>
    <w:rsid w:val="00FD02BA"/>
    <w:rsid w:val="00FD176A"/>
    <w:rsid w:val="00FD18D6"/>
    <w:rsid w:val="00FD1A4D"/>
    <w:rsid w:val="00FD1E17"/>
    <w:rsid w:val="00FD20A0"/>
    <w:rsid w:val="00FD231E"/>
    <w:rsid w:val="00FD3205"/>
    <w:rsid w:val="00FD3346"/>
    <w:rsid w:val="00FD3643"/>
    <w:rsid w:val="00FD3D0A"/>
    <w:rsid w:val="00FD3F2D"/>
    <w:rsid w:val="00FD3FDF"/>
    <w:rsid w:val="00FD4854"/>
    <w:rsid w:val="00FD4E1E"/>
    <w:rsid w:val="00FD53BD"/>
    <w:rsid w:val="00FD573F"/>
    <w:rsid w:val="00FD5A43"/>
    <w:rsid w:val="00FD6137"/>
    <w:rsid w:val="00FD729F"/>
    <w:rsid w:val="00FD7B5A"/>
    <w:rsid w:val="00FD7BA5"/>
    <w:rsid w:val="00FE0084"/>
    <w:rsid w:val="00FE01E4"/>
    <w:rsid w:val="00FE034B"/>
    <w:rsid w:val="00FE0597"/>
    <w:rsid w:val="00FE0611"/>
    <w:rsid w:val="00FE0614"/>
    <w:rsid w:val="00FE14C5"/>
    <w:rsid w:val="00FE1AC6"/>
    <w:rsid w:val="00FE2152"/>
    <w:rsid w:val="00FE3081"/>
    <w:rsid w:val="00FE309E"/>
    <w:rsid w:val="00FE3166"/>
    <w:rsid w:val="00FE361F"/>
    <w:rsid w:val="00FE3B11"/>
    <w:rsid w:val="00FE3D62"/>
    <w:rsid w:val="00FE3DF0"/>
    <w:rsid w:val="00FE4289"/>
    <w:rsid w:val="00FE4326"/>
    <w:rsid w:val="00FE4732"/>
    <w:rsid w:val="00FE6613"/>
    <w:rsid w:val="00FE6F48"/>
    <w:rsid w:val="00FE7306"/>
    <w:rsid w:val="00FE74F5"/>
    <w:rsid w:val="00FE7B2D"/>
    <w:rsid w:val="00FF0811"/>
    <w:rsid w:val="00FF0CE7"/>
    <w:rsid w:val="00FF162B"/>
    <w:rsid w:val="00FF204D"/>
    <w:rsid w:val="00FF2519"/>
    <w:rsid w:val="00FF2931"/>
    <w:rsid w:val="00FF3118"/>
    <w:rsid w:val="00FF3BF8"/>
    <w:rsid w:val="00FF43AA"/>
    <w:rsid w:val="00FF4620"/>
    <w:rsid w:val="00FF4646"/>
    <w:rsid w:val="00FF4662"/>
    <w:rsid w:val="00FF4BB3"/>
    <w:rsid w:val="00FF50E3"/>
    <w:rsid w:val="00FF596A"/>
    <w:rsid w:val="00FF5C93"/>
    <w:rsid w:val="00FF62C1"/>
    <w:rsid w:val="00FF64BF"/>
    <w:rsid w:val="00FF6514"/>
    <w:rsid w:val="00FF7460"/>
    <w:rsid w:val="00FF78E3"/>
    <w:rsid w:val="00FF7C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78F40"/>
  <w15:docId w15:val="{F7B19334-B75E-4D89-ACF8-802591CC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rFonts w:ascii="Arial" w:hAnsi="Arial"/>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sz w:val="18"/>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aliases w:val="Footnote Reference/,Appel note de bas de p,4_G,Footnote symbol,Footnote reference number,note TESI,BVI fnr,Nota,SUPERS,Footnote number,Footnote Reference Superscript,EN Footnote Reference,-E Fußnotenzeichen,number Char Char,number,Ref"/>
    <w:rPr>
      <w:rFonts w:ascii="Arial" w:hAnsi="Arial"/>
      <w:sz w:val="22"/>
      <w:vertAlign w:val="superscript"/>
    </w:rPr>
  </w:style>
  <w:style w:type="paragraph" w:styleId="FootnoteText">
    <w:name w:val="footnote text"/>
    <w:basedOn w:val="Normal"/>
    <w:link w:val="FootnoteTextChar"/>
    <w:uiPriority w:val="99"/>
    <w:pPr>
      <w:tabs>
        <w:tab w:val="clear" w:pos="851"/>
        <w:tab w:val="left" w:pos="567"/>
      </w:tabs>
      <w:ind w:left="567" w:hanging="567"/>
    </w:pPr>
    <w:rPr>
      <w:sz w:val="18"/>
    </w:rPr>
  </w:style>
  <w:style w:type="character" w:customStyle="1" w:styleId="FooterChar">
    <w:name w:val="Footer Char"/>
    <w:basedOn w:val="DefaultParagraphFont"/>
    <w:link w:val="Footer"/>
    <w:uiPriority w:val="99"/>
    <w:rsid w:val="00630A78"/>
    <w:rPr>
      <w:rFonts w:ascii="Arial" w:hAnsi="Arial"/>
      <w:sz w:val="18"/>
      <w:lang w:eastAsia="en-US"/>
    </w:rPr>
  </w:style>
  <w:style w:type="character" w:customStyle="1" w:styleId="FootnoteTextChar">
    <w:name w:val="Footnote Text Char"/>
    <w:basedOn w:val="DefaultParagraphFont"/>
    <w:link w:val="FootnoteText"/>
    <w:uiPriority w:val="99"/>
    <w:rsid w:val="00A630FA"/>
    <w:rPr>
      <w:rFonts w:ascii="Arial" w:hAnsi="Arial"/>
      <w:sz w:val="18"/>
      <w:lang w:eastAsia="en-US"/>
    </w:rPr>
  </w:style>
  <w:style w:type="paragraph" w:styleId="ListParagraph">
    <w:name w:val="List Paragraph"/>
    <w:basedOn w:val="Normal"/>
    <w:uiPriority w:val="34"/>
    <w:qFormat/>
    <w:rsid w:val="00A630FA"/>
    <w:pPr>
      <w:tabs>
        <w:tab w:val="clear" w:pos="851"/>
      </w:tabs>
      <w:ind w:left="720"/>
      <w:contextualSpacing/>
      <w:jc w:val="left"/>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630FA"/>
    <w:rPr>
      <w:rFonts w:ascii="Arial" w:hAnsi="Arial"/>
      <w:sz w:val="22"/>
      <w:lang w:eastAsia="en-US"/>
    </w:rPr>
  </w:style>
  <w:style w:type="paragraph" w:customStyle="1" w:styleId="Default">
    <w:name w:val="Default"/>
    <w:rsid w:val="00A630FA"/>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A630FA"/>
    <w:pPr>
      <w:tabs>
        <w:tab w:val="clear" w:pos="851"/>
      </w:tabs>
      <w:jc w:val="left"/>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A630FA"/>
    <w:rPr>
      <w:rFonts w:ascii="Segoe UI" w:hAnsi="Segoe UI" w:cs="Segoe UI"/>
      <w:sz w:val="18"/>
      <w:szCs w:val="18"/>
      <w:lang w:eastAsia="en-GB"/>
    </w:rPr>
  </w:style>
  <w:style w:type="character" w:styleId="Hyperlink">
    <w:name w:val="Hyperlink"/>
    <w:basedOn w:val="DefaultParagraphFont"/>
    <w:uiPriority w:val="99"/>
    <w:unhideWhenUsed/>
    <w:rsid w:val="00A630FA"/>
    <w:rPr>
      <w:color w:val="0563C1" w:themeColor="hyperlink"/>
      <w:u w:val="single"/>
    </w:rPr>
  </w:style>
  <w:style w:type="character" w:styleId="FollowedHyperlink">
    <w:name w:val="FollowedHyperlink"/>
    <w:basedOn w:val="DefaultParagraphFont"/>
    <w:uiPriority w:val="99"/>
    <w:semiHidden/>
    <w:unhideWhenUsed/>
    <w:rsid w:val="00A630FA"/>
    <w:rPr>
      <w:color w:val="954F72" w:themeColor="followedHyperlink"/>
      <w:u w:val="single"/>
    </w:rPr>
  </w:style>
  <w:style w:type="character" w:styleId="CommentReference">
    <w:name w:val="annotation reference"/>
    <w:basedOn w:val="DefaultParagraphFont"/>
    <w:uiPriority w:val="99"/>
    <w:semiHidden/>
    <w:unhideWhenUsed/>
    <w:rsid w:val="0093475E"/>
    <w:rPr>
      <w:sz w:val="16"/>
      <w:szCs w:val="16"/>
    </w:rPr>
  </w:style>
  <w:style w:type="paragraph" w:styleId="CommentText">
    <w:name w:val="annotation text"/>
    <w:basedOn w:val="Normal"/>
    <w:link w:val="CommentTextChar"/>
    <w:uiPriority w:val="99"/>
    <w:unhideWhenUsed/>
    <w:rsid w:val="0093475E"/>
    <w:rPr>
      <w:sz w:val="20"/>
    </w:rPr>
  </w:style>
  <w:style w:type="character" w:customStyle="1" w:styleId="CommentTextChar">
    <w:name w:val="Comment Text Char"/>
    <w:basedOn w:val="DefaultParagraphFont"/>
    <w:link w:val="CommentText"/>
    <w:uiPriority w:val="99"/>
    <w:rsid w:val="009347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3475E"/>
    <w:rPr>
      <w:b/>
      <w:bCs/>
    </w:rPr>
  </w:style>
  <w:style w:type="character" w:customStyle="1" w:styleId="CommentSubjectChar">
    <w:name w:val="Comment Subject Char"/>
    <w:basedOn w:val="CommentTextChar"/>
    <w:link w:val="CommentSubject"/>
    <w:uiPriority w:val="99"/>
    <w:semiHidden/>
    <w:rsid w:val="0093475E"/>
    <w:rPr>
      <w:rFonts w:ascii="Arial" w:hAnsi="Arial"/>
      <w:b/>
      <w:bCs/>
      <w:lang w:eastAsia="en-US"/>
    </w:rPr>
  </w:style>
  <w:style w:type="paragraph" w:styleId="Revision">
    <w:name w:val="Revision"/>
    <w:hidden/>
    <w:uiPriority w:val="99"/>
    <w:semiHidden/>
    <w:rsid w:val="00B377C7"/>
    <w:rPr>
      <w:rFonts w:ascii="Arial" w:hAnsi="Arial"/>
      <w:sz w:val="22"/>
      <w:lang w:eastAsia="en-US"/>
    </w:rPr>
  </w:style>
  <w:style w:type="character" w:styleId="UnresolvedMention">
    <w:name w:val="Unresolved Mention"/>
    <w:basedOn w:val="DefaultParagraphFont"/>
    <w:uiPriority w:val="99"/>
    <w:semiHidden/>
    <w:unhideWhenUsed/>
    <w:rsid w:val="0073358D"/>
    <w:rPr>
      <w:color w:val="605E5C"/>
      <w:shd w:val="clear" w:color="auto" w:fill="E1DFDD"/>
    </w:rPr>
  </w:style>
  <w:style w:type="character" w:customStyle="1" w:styleId="normaltextrun">
    <w:name w:val="normaltextrun"/>
    <w:basedOn w:val="DefaultParagraphFont"/>
    <w:rsid w:val="00B04B6E"/>
  </w:style>
  <w:style w:type="paragraph" w:styleId="NoSpacing">
    <w:name w:val="No Spacing"/>
    <w:uiPriority w:val="1"/>
    <w:qFormat/>
    <w:rsid w:val="00B04B6E"/>
    <w:pPr>
      <w:tabs>
        <w:tab w:val="left" w:pos="851"/>
      </w:tabs>
      <w:jc w:val="both"/>
    </w:pPr>
    <w:rPr>
      <w:rFonts w:ascii="Arial" w:hAnsi="Arial"/>
      <w:sz w:val="22"/>
      <w:lang w:eastAsia="en-US"/>
    </w:rPr>
  </w:style>
  <w:style w:type="character" w:styleId="Mention">
    <w:name w:val="Mention"/>
    <w:basedOn w:val="DefaultParagraphFont"/>
    <w:uiPriority w:val="99"/>
    <w:unhideWhenUsed/>
    <w:rsid w:val="00B04B6E"/>
    <w:rPr>
      <w:color w:val="2B579A"/>
      <w:shd w:val="clear" w:color="auto" w:fill="E1DFDD"/>
    </w:rPr>
  </w:style>
  <w:style w:type="paragraph" w:styleId="NormalWeb">
    <w:name w:val="Normal (Web)"/>
    <w:basedOn w:val="Normal"/>
    <w:uiPriority w:val="99"/>
    <w:unhideWhenUsed/>
    <w:rsid w:val="00965DEE"/>
    <w:pPr>
      <w:tabs>
        <w:tab w:val="clear" w:pos="851"/>
      </w:tabs>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998">
      <w:bodyDiv w:val="1"/>
      <w:marLeft w:val="0"/>
      <w:marRight w:val="0"/>
      <w:marTop w:val="0"/>
      <w:marBottom w:val="0"/>
      <w:divBdr>
        <w:top w:val="none" w:sz="0" w:space="0" w:color="auto"/>
        <w:left w:val="none" w:sz="0" w:space="0" w:color="auto"/>
        <w:bottom w:val="none" w:sz="0" w:space="0" w:color="auto"/>
        <w:right w:val="none" w:sz="0" w:space="0" w:color="auto"/>
      </w:divBdr>
    </w:div>
    <w:div w:id="43524777">
      <w:bodyDiv w:val="1"/>
      <w:marLeft w:val="0"/>
      <w:marRight w:val="0"/>
      <w:marTop w:val="0"/>
      <w:marBottom w:val="0"/>
      <w:divBdr>
        <w:top w:val="none" w:sz="0" w:space="0" w:color="auto"/>
        <w:left w:val="none" w:sz="0" w:space="0" w:color="auto"/>
        <w:bottom w:val="none" w:sz="0" w:space="0" w:color="auto"/>
        <w:right w:val="none" w:sz="0" w:space="0" w:color="auto"/>
      </w:divBdr>
    </w:div>
    <w:div w:id="240726068">
      <w:bodyDiv w:val="1"/>
      <w:marLeft w:val="0"/>
      <w:marRight w:val="0"/>
      <w:marTop w:val="0"/>
      <w:marBottom w:val="0"/>
      <w:divBdr>
        <w:top w:val="none" w:sz="0" w:space="0" w:color="auto"/>
        <w:left w:val="none" w:sz="0" w:space="0" w:color="auto"/>
        <w:bottom w:val="none" w:sz="0" w:space="0" w:color="auto"/>
        <w:right w:val="none" w:sz="0" w:space="0" w:color="auto"/>
      </w:divBdr>
    </w:div>
    <w:div w:id="612787337">
      <w:bodyDiv w:val="1"/>
      <w:marLeft w:val="0"/>
      <w:marRight w:val="0"/>
      <w:marTop w:val="0"/>
      <w:marBottom w:val="0"/>
      <w:divBdr>
        <w:top w:val="none" w:sz="0" w:space="0" w:color="auto"/>
        <w:left w:val="none" w:sz="0" w:space="0" w:color="auto"/>
        <w:bottom w:val="none" w:sz="0" w:space="0" w:color="auto"/>
        <w:right w:val="none" w:sz="0" w:space="0" w:color="auto"/>
      </w:divBdr>
      <w:divsChild>
        <w:div w:id="726146151">
          <w:marLeft w:val="0"/>
          <w:marRight w:val="0"/>
          <w:marTop w:val="0"/>
          <w:marBottom w:val="0"/>
          <w:divBdr>
            <w:top w:val="none" w:sz="0" w:space="0" w:color="auto"/>
            <w:left w:val="none" w:sz="0" w:space="0" w:color="auto"/>
            <w:bottom w:val="none" w:sz="0" w:space="0" w:color="auto"/>
            <w:right w:val="none" w:sz="0" w:space="0" w:color="auto"/>
          </w:divBdr>
          <w:divsChild>
            <w:div w:id="1633561828">
              <w:marLeft w:val="0"/>
              <w:marRight w:val="0"/>
              <w:marTop w:val="0"/>
              <w:marBottom w:val="0"/>
              <w:divBdr>
                <w:top w:val="none" w:sz="0" w:space="0" w:color="auto"/>
                <w:left w:val="none" w:sz="0" w:space="0" w:color="auto"/>
                <w:bottom w:val="none" w:sz="0" w:space="0" w:color="auto"/>
                <w:right w:val="none" w:sz="0" w:space="0" w:color="auto"/>
              </w:divBdr>
              <w:divsChild>
                <w:div w:id="181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3825">
      <w:bodyDiv w:val="1"/>
      <w:marLeft w:val="0"/>
      <w:marRight w:val="0"/>
      <w:marTop w:val="0"/>
      <w:marBottom w:val="0"/>
      <w:divBdr>
        <w:top w:val="none" w:sz="0" w:space="0" w:color="auto"/>
        <w:left w:val="none" w:sz="0" w:space="0" w:color="auto"/>
        <w:bottom w:val="none" w:sz="0" w:space="0" w:color="auto"/>
        <w:right w:val="none" w:sz="0" w:space="0" w:color="auto"/>
      </w:divBdr>
    </w:div>
    <w:div w:id="1069883640">
      <w:bodyDiv w:val="1"/>
      <w:marLeft w:val="0"/>
      <w:marRight w:val="0"/>
      <w:marTop w:val="0"/>
      <w:marBottom w:val="0"/>
      <w:divBdr>
        <w:top w:val="none" w:sz="0" w:space="0" w:color="auto"/>
        <w:left w:val="none" w:sz="0" w:space="0" w:color="auto"/>
        <w:bottom w:val="none" w:sz="0" w:space="0" w:color="auto"/>
        <w:right w:val="none" w:sz="0" w:space="0" w:color="auto"/>
      </w:divBdr>
    </w:div>
    <w:div w:id="1564632509">
      <w:bodyDiv w:val="1"/>
      <w:marLeft w:val="0"/>
      <w:marRight w:val="0"/>
      <w:marTop w:val="0"/>
      <w:marBottom w:val="0"/>
      <w:divBdr>
        <w:top w:val="none" w:sz="0" w:space="0" w:color="auto"/>
        <w:left w:val="none" w:sz="0" w:space="0" w:color="auto"/>
        <w:bottom w:val="none" w:sz="0" w:space="0" w:color="auto"/>
        <w:right w:val="none" w:sz="0" w:space="0" w:color="auto"/>
      </w:divBdr>
    </w:div>
    <w:div w:id="16265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7" ma:contentTypeDescription="Create a new document." ma:contentTypeScope="" ma:versionID="521ad3903fc93c09c644ceea4bc44ccb">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c3b1eb3643fd9796fba89b486d40e84b"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A7C03-878F-4B8A-A3B2-D8305CFF1787}">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2.xml><?xml version="1.0" encoding="utf-8"?>
<ds:datastoreItem xmlns:ds="http://schemas.openxmlformats.org/officeDocument/2006/customXml" ds:itemID="{E9817DF9-1C44-48EA-B2B4-B1340BD7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D7F77-3635-4DE1-81A4-82D60DD27B0F}">
  <ds:schemaRefs>
    <ds:schemaRef ds:uri="http://schemas.openxmlformats.org/officeDocument/2006/bibliography"/>
  </ds:schemaRefs>
</ds:datastoreItem>
</file>

<file path=customXml/itemProps4.xml><?xml version="1.0" encoding="utf-8"?>
<ds:datastoreItem xmlns:ds="http://schemas.openxmlformats.org/officeDocument/2006/customXml" ds:itemID="{8198A999-39E5-4711-85E4-787960EEA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14302</Words>
  <Characters>71800</Characters>
  <Application>Microsoft Office Word</Application>
  <DocSecurity>0</DocSecurity>
  <Lines>1527</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Emmy Ramirez</cp:lastModifiedBy>
  <cp:revision>2</cp:revision>
  <dcterms:created xsi:type="dcterms:W3CDTF">2024-01-25T07:09:00Z</dcterms:created>
  <dcterms:modified xsi:type="dcterms:W3CDTF">2024-02-01T10:58:00Z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GrammarlyDocumentId">
    <vt:lpwstr>ac033ab025a2f7f5d64ff18b2a3442a542651d1cc796bcc26ec9420a827120d5</vt:lpwstr>
  </property>
</Properties>
</file>